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4D" w:rsidRPr="000C2F66" w:rsidRDefault="00DB024D" w:rsidP="00DB024D">
      <w:pPr>
        <w:rPr>
          <w:b/>
        </w:rPr>
      </w:pPr>
      <w:r>
        <w:rPr>
          <w:b/>
        </w:rPr>
        <w:t>Informationsblatt - Umzug</w:t>
      </w:r>
    </w:p>
    <w:p w:rsidR="00DB024D" w:rsidRDefault="00C17A22" w:rsidP="00DB024D">
      <w:pPr>
        <w:jc w:val="right"/>
      </w:pPr>
      <w:r>
        <w:rPr>
          <w:noProof/>
        </w:rPr>
        <w:drawing>
          <wp:inline distT="0" distB="0" distL="0" distR="0">
            <wp:extent cx="2671548" cy="438785"/>
            <wp:effectExtent l="0" t="0" r="0" b="0"/>
            <wp:docPr id="2" name="Grafik 2" descr="C:\Users\DiemA\AppData\Local\Microsoft\Windows\INetCache\Content.MSO\73D067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mA\AppData\Local\Microsoft\Windows\INetCache\Content.MSO\73D0674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011" cy="449373"/>
                    </a:xfrm>
                    <a:prstGeom prst="rect">
                      <a:avLst/>
                    </a:prstGeom>
                    <a:noFill/>
                    <a:ln>
                      <a:noFill/>
                    </a:ln>
                  </pic:spPr>
                </pic:pic>
              </a:graphicData>
            </a:graphic>
          </wp:inline>
        </w:drawing>
      </w:r>
    </w:p>
    <w:p w:rsidR="00DB024D" w:rsidRPr="008100CE" w:rsidRDefault="00DB024D" w:rsidP="00DB024D">
      <w:r w:rsidRPr="008100CE">
        <w:t>Sehr geehrte</w:t>
      </w:r>
      <w:r>
        <w:t xml:space="preserve"> Damen und Herren</w:t>
      </w:r>
      <w:r>
        <w:fldChar w:fldCharType="begin"/>
      </w:r>
      <w:r>
        <w:instrText xml:space="preserve"> FILLIN  "Anrede Name HE"  \* MERGEFORMAT </w:instrText>
      </w:r>
      <w:r>
        <w:fldChar w:fldCharType="end"/>
      </w:r>
      <w:r w:rsidRPr="008100CE">
        <w:t xml:space="preserve">, </w:t>
      </w:r>
    </w:p>
    <w:p w:rsidR="00DB024D" w:rsidRDefault="00DB024D" w:rsidP="00DB024D"/>
    <w:p w:rsidR="00DB024D" w:rsidRDefault="00DB024D" w:rsidP="00DB024D"/>
    <w:p w:rsidR="00DB024D" w:rsidRDefault="00DB024D" w:rsidP="00DB024D">
      <w:pPr>
        <w:jc w:val="both"/>
      </w:pPr>
      <w:r>
        <w:t>wir dürfen Ihnen folgende allgemeine Hinweise in Hinblick auf einen Umzug geben:</w:t>
      </w:r>
    </w:p>
    <w:p w:rsidR="00DB024D" w:rsidRPr="008100CE" w:rsidRDefault="00DB024D" w:rsidP="00DB024D">
      <w:pPr>
        <w:jc w:val="both"/>
      </w:pPr>
    </w:p>
    <w:p w:rsidR="00DB024D" w:rsidRDefault="00DB024D" w:rsidP="00DB024D">
      <w:pPr>
        <w:jc w:val="both"/>
        <w:rPr>
          <w:rFonts w:cs="Arial"/>
          <w:noProof/>
        </w:rPr>
      </w:pPr>
      <w:r w:rsidRPr="008100CE">
        <w:rPr>
          <w:rFonts w:cs="Arial"/>
          <w:noProof/>
        </w:rPr>
        <w:t>Leistungen für die Unterkunft und Heizung werden in Höhe der tatsächlichen Aufwendungen erbracht, soweit diese angemessen sind</w:t>
      </w:r>
      <w:r>
        <w:rPr>
          <w:rFonts w:cs="Arial"/>
          <w:noProof/>
        </w:rPr>
        <w:t>. Erhöhen sich nach einem nicht erforderlichen Umzug die angemessenen Aufwendungen für Unterkunft und Heizung, werden die Leistungen weiterhin nur in Höhe der bis dahin zu tragenden Aufwendungen erbracht</w:t>
      </w:r>
      <w:r w:rsidRPr="008100CE">
        <w:rPr>
          <w:rFonts w:cs="Arial"/>
          <w:noProof/>
        </w:rPr>
        <w:t xml:space="preserve"> (§ 22 Abs. 1 Satz 1</w:t>
      </w:r>
      <w:r>
        <w:rPr>
          <w:rFonts w:cs="Arial"/>
          <w:noProof/>
        </w:rPr>
        <w:t xml:space="preserve"> und 2</w:t>
      </w:r>
      <w:r w:rsidRPr="008100CE">
        <w:rPr>
          <w:rFonts w:cs="Arial"/>
          <w:noProof/>
        </w:rPr>
        <w:t xml:space="preserve"> SGB II).</w:t>
      </w:r>
    </w:p>
    <w:p w:rsidR="00DB024D" w:rsidRPr="008100CE" w:rsidRDefault="00DB024D" w:rsidP="00DB024D">
      <w:pPr>
        <w:jc w:val="both"/>
        <w:rPr>
          <w:rFonts w:cs="Arial"/>
          <w:noProof/>
        </w:rPr>
      </w:pPr>
      <w:r>
        <w:rPr>
          <w:rFonts w:cs="Arial"/>
          <w:noProof/>
        </w:rPr>
        <w:t xml:space="preserve">Dies bedeutet für Sie, dass Sie zunächst den Umzug mit Blick auf dessen </w:t>
      </w:r>
      <w:r w:rsidRPr="000C2F66">
        <w:rPr>
          <w:rFonts w:cs="Arial"/>
          <w:b/>
          <w:noProof/>
        </w:rPr>
        <w:t>Erforderlichkeit gegenüber de</w:t>
      </w:r>
      <w:r>
        <w:rPr>
          <w:rFonts w:cs="Arial"/>
          <w:b/>
          <w:noProof/>
        </w:rPr>
        <w:t>m</w:t>
      </w:r>
      <w:r w:rsidRPr="000C2F66">
        <w:rPr>
          <w:rFonts w:cs="Arial"/>
          <w:b/>
          <w:noProof/>
        </w:rPr>
        <w:t xml:space="preserve"> </w:t>
      </w:r>
      <w:r>
        <w:rPr>
          <w:rFonts w:cs="Arial"/>
          <w:b/>
          <w:noProof/>
        </w:rPr>
        <w:t>Jobcenter</w:t>
      </w:r>
      <w:r w:rsidRPr="000C2F66">
        <w:rPr>
          <w:rFonts w:cs="Arial"/>
          <w:b/>
          <w:noProof/>
        </w:rPr>
        <w:t xml:space="preserve"> begründen</w:t>
      </w:r>
      <w:r>
        <w:rPr>
          <w:rFonts w:cs="Arial"/>
          <w:noProof/>
        </w:rPr>
        <w:t xml:space="preserve"> müssen. Hierbei sind zunächst Gründe zu benennen und ggfs. auch zu belegen, die den Auszug aus der bisherigen Wohnung erforderlich machen (z.B. Arbeitsaufnahme außerhalb Pendelbereich). Gleichzeitig muss aber auch die Angemessenheit der Wohnnung gegeben sein, die Sie beziehen wollen. Sind diese Voraussetzungen für den Umzug (vgl. Aus- und Einzug) nicht gegeben, können unter Umständen auch die laufenden Mietzahlungen nicht anerkannt werden. </w:t>
      </w:r>
    </w:p>
    <w:p w:rsidR="00DB024D" w:rsidRDefault="00DB024D" w:rsidP="00DB024D">
      <w:pPr>
        <w:jc w:val="both"/>
        <w:rPr>
          <w:rFonts w:cs="Arial"/>
          <w:noProof/>
        </w:rPr>
      </w:pPr>
    </w:p>
    <w:p w:rsidR="00DB024D" w:rsidRPr="008100CE" w:rsidRDefault="00DB024D" w:rsidP="00DB024D">
      <w:pPr>
        <w:jc w:val="both"/>
        <w:rPr>
          <w:rFonts w:cs="Arial"/>
        </w:rPr>
      </w:pPr>
      <w:r w:rsidRPr="00326EB6">
        <w:rPr>
          <w:rFonts w:cs="Arial"/>
          <w:b/>
        </w:rPr>
        <w:t xml:space="preserve">Setzen Sie sich bitte </w:t>
      </w:r>
      <w:r>
        <w:rPr>
          <w:rFonts w:cs="Arial"/>
          <w:b/>
        </w:rPr>
        <w:t xml:space="preserve">deshalb zur Vermeidung von Nachteilen </w:t>
      </w:r>
      <w:r w:rsidRPr="00326EB6">
        <w:rPr>
          <w:rFonts w:cs="Arial"/>
          <w:b/>
        </w:rPr>
        <w:t>mit Ihrem zuständigen Sachbearbeiter in Verbindung, wenn Sie eine andere Wohnung in Aussicht haben</w:t>
      </w:r>
      <w:r w:rsidRPr="008100CE">
        <w:rPr>
          <w:rFonts w:cs="Arial"/>
        </w:rPr>
        <w:t xml:space="preserve">, damit wir </w:t>
      </w:r>
      <w:r w:rsidRPr="009A2968">
        <w:rPr>
          <w:rFonts w:cs="Arial"/>
          <w:b/>
        </w:rPr>
        <w:t>vor Abschluss des Mietvertrages</w:t>
      </w:r>
      <w:r w:rsidRPr="008100CE">
        <w:rPr>
          <w:rFonts w:cs="Arial"/>
        </w:rPr>
        <w:t xml:space="preserve"> prüfen können, ob Miete und Heizkosten </w:t>
      </w:r>
      <w:r>
        <w:rPr>
          <w:rFonts w:cs="Arial"/>
        </w:rPr>
        <w:t xml:space="preserve">in Ihrem Einzelfall </w:t>
      </w:r>
      <w:r w:rsidRPr="008100CE">
        <w:rPr>
          <w:rFonts w:cs="Arial"/>
        </w:rPr>
        <w:t>angemessen sind</w:t>
      </w:r>
      <w:r>
        <w:rPr>
          <w:rFonts w:cs="Arial"/>
        </w:rPr>
        <w:t xml:space="preserve"> sowie ob die Notwendigkeit des Umzuges anerkannt werden kann</w:t>
      </w:r>
      <w:r w:rsidRPr="008100CE">
        <w:rPr>
          <w:rFonts w:cs="Arial"/>
        </w:rPr>
        <w:t>.</w:t>
      </w:r>
      <w:r>
        <w:rPr>
          <w:rFonts w:cs="Arial"/>
        </w:rPr>
        <w:t xml:space="preserve"> </w:t>
      </w:r>
    </w:p>
    <w:p w:rsidR="00DB024D" w:rsidRDefault="00DB024D" w:rsidP="00DB024D"/>
    <w:p w:rsidR="00DB024D" w:rsidRDefault="00DB024D" w:rsidP="00DB024D">
      <w:pPr>
        <w:pStyle w:val="Listenabsatz"/>
        <w:ind w:left="0"/>
        <w:contextualSpacing w:val="0"/>
        <w:rPr>
          <w:b/>
          <w:u w:val="single"/>
        </w:rPr>
      </w:pPr>
      <w:r>
        <w:rPr>
          <w:b/>
          <w:u w:val="single"/>
        </w:rPr>
        <w:t>Höchstbeträge für Mieten – Kaltmiete und Nebenkosten ohne Heizung ab 01.01.202</w:t>
      </w:r>
      <w:r w:rsidR="00BA63D4">
        <w:rPr>
          <w:b/>
          <w:u w:val="single"/>
        </w:rPr>
        <w:t>4</w:t>
      </w:r>
      <w:r>
        <w:rPr>
          <w:b/>
          <w:u w:val="single"/>
        </w:rPr>
        <w:t>:</w:t>
      </w:r>
    </w:p>
    <w:p w:rsidR="00DB024D" w:rsidRPr="00D067BC" w:rsidRDefault="00DB024D" w:rsidP="00DB024D">
      <w:pPr>
        <w:rPr>
          <w:rFonts w:eastAsia="Calibri"/>
          <w:lang w:eastAsia="en-US"/>
        </w:rPr>
      </w:pPr>
    </w:p>
    <w:tbl>
      <w:tblPr>
        <w:tblStyle w:val="Tabellenraster"/>
        <w:tblW w:w="0" w:type="auto"/>
        <w:tblInd w:w="562" w:type="dxa"/>
        <w:tblLayout w:type="fixed"/>
        <w:tblLook w:val="04A0" w:firstRow="1" w:lastRow="0" w:firstColumn="1" w:lastColumn="0" w:noHBand="0" w:noVBand="1"/>
      </w:tblPr>
      <w:tblGrid>
        <w:gridCol w:w="2410"/>
        <w:gridCol w:w="2267"/>
        <w:gridCol w:w="1986"/>
        <w:gridCol w:w="2126"/>
      </w:tblGrid>
      <w:tr w:rsidR="00DB024D" w:rsidRPr="00D067BC" w:rsidTr="00A4176F">
        <w:tc>
          <w:tcPr>
            <w:tcW w:w="2410" w:type="dxa"/>
            <w:vMerge w:val="restart"/>
            <w:shd w:val="clear" w:color="auto" w:fill="F2F2F2" w:themeFill="background1" w:themeFillShade="F2"/>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Anzahl der zu berücksichtigenden Haushaltsmitglieder</w:t>
            </w:r>
          </w:p>
        </w:tc>
        <w:tc>
          <w:tcPr>
            <w:tcW w:w="2267" w:type="dxa"/>
            <w:vMerge w:val="restart"/>
            <w:shd w:val="clear" w:color="auto" w:fill="F2F2F2" w:themeFill="background1" w:themeFillShade="F2"/>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Angemessene Wohnfläche lt. Wohnraum-förderungs-bestimmungen</w:t>
            </w:r>
          </w:p>
        </w:tc>
        <w:tc>
          <w:tcPr>
            <w:tcW w:w="4112" w:type="dxa"/>
            <w:gridSpan w:val="2"/>
            <w:shd w:val="clear" w:color="auto" w:fill="F2F2F2" w:themeFill="background1" w:themeFillShade="F2"/>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Angemessene Bruttokaltmiete ohne Heizung</w:t>
            </w: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 12 WoGG zzgl. 10 %</w:t>
            </w:r>
          </w:p>
          <w:p w:rsidR="00DB024D" w:rsidRPr="00D067BC" w:rsidRDefault="00DB024D" w:rsidP="00A4176F">
            <w:pPr>
              <w:contextualSpacing/>
              <w:jc w:val="center"/>
              <w:rPr>
                <w:rFonts w:eastAsia="Calibri" w:cs="Arial"/>
                <w:sz w:val="24"/>
                <w:szCs w:val="24"/>
                <w:lang w:eastAsia="en-US"/>
              </w:rPr>
            </w:pPr>
          </w:p>
        </w:tc>
      </w:tr>
      <w:tr w:rsidR="00DB024D" w:rsidRPr="00D067BC" w:rsidTr="00A4176F">
        <w:tc>
          <w:tcPr>
            <w:tcW w:w="2410" w:type="dxa"/>
            <w:vMerge/>
          </w:tcPr>
          <w:p w:rsidR="00DB024D" w:rsidRPr="00D067BC" w:rsidRDefault="00DB024D" w:rsidP="00A4176F">
            <w:pPr>
              <w:contextualSpacing/>
              <w:jc w:val="both"/>
              <w:rPr>
                <w:rFonts w:eastAsia="Calibri" w:cs="Arial"/>
                <w:sz w:val="24"/>
                <w:szCs w:val="24"/>
                <w:u w:val="single"/>
                <w:lang w:eastAsia="en-US"/>
              </w:rPr>
            </w:pPr>
          </w:p>
        </w:tc>
        <w:tc>
          <w:tcPr>
            <w:tcW w:w="2267" w:type="dxa"/>
            <w:vMerge/>
          </w:tcPr>
          <w:p w:rsidR="00DB024D" w:rsidRPr="00D067BC" w:rsidRDefault="00DB024D" w:rsidP="00A4176F">
            <w:pPr>
              <w:contextualSpacing/>
              <w:jc w:val="center"/>
              <w:rPr>
                <w:rFonts w:eastAsia="Calibri" w:cs="Arial"/>
                <w:sz w:val="24"/>
                <w:szCs w:val="24"/>
                <w:lang w:eastAsia="en-US"/>
              </w:rPr>
            </w:pPr>
          </w:p>
        </w:tc>
        <w:tc>
          <w:tcPr>
            <w:tcW w:w="1986" w:type="dxa"/>
            <w:shd w:val="clear" w:color="auto" w:fill="F2F2F2" w:themeFill="background1" w:themeFillShade="F2"/>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 xml:space="preserve">Mietstufe I – Landkreis Rottal-Inn </w:t>
            </w:r>
            <w:r w:rsidRPr="009A2AA4">
              <w:rPr>
                <w:rFonts w:eastAsia="Calibri" w:cs="Arial"/>
                <w:sz w:val="24"/>
                <w:szCs w:val="24"/>
                <w:u w:val="single"/>
                <w:lang w:eastAsia="en-US"/>
              </w:rPr>
              <w:t>außer</w:t>
            </w:r>
            <w:r w:rsidRPr="00D067BC">
              <w:rPr>
                <w:rFonts w:eastAsia="Calibri" w:cs="Arial"/>
                <w:sz w:val="24"/>
                <w:szCs w:val="24"/>
                <w:lang w:eastAsia="en-US"/>
              </w:rPr>
              <w:t xml:space="preserve"> St</w:t>
            </w:r>
            <w:r w:rsidR="009A2AA4">
              <w:rPr>
                <w:rFonts w:eastAsia="Calibri" w:cs="Arial"/>
                <w:sz w:val="24"/>
                <w:szCs w:val="24"/>
                <w:lang w:eastAsia="en-US"/>
              </w:rPr>
              <w:t>ädte Eggenfelden und Pfarrkirchen</w:t>
            </w:r>
          </w:p>
          <w:p w:rsidR="00DB024D" w:rsidRPr="00D067BC" w:rsidRDefault="00DB024D" w:rsidP="00A4176F">
            <w:pPr>
              <w:contextualSpacing/>
              <w:jc w:val="center"/>
              <w:rPr>
                <w:rFonts w:eastAsia="Calibri" w:cs="Arial"/>
                <w:sz w:val="24"/>
                <w:szCs w:val="24"/>
                <w:lang w:eastAsia="en-US"/>
              </w:rPr>
            </w:pPr>
          </w:p>
        </w:tc>
        <w:tc>
          <w:tcPr>
            <w:tcW w:w="2126" w:type="dxa"/>
            <w:shd w:val="clear" w:color="auto" w:fill="F2F2F2" w:themeFill="background1" w:themeFillShade="F2"/>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Mietstufe II – St</w:t>
            </w:r>
            <w:r w:rsidR="009A2AA4">
              <w:rPr>
                <w:rFonts w:eastAsia="Calibri" w:cs="Arial"/>
                <w:sz w:val="24"/>
                <w:szCs w:val="24"/>
                <w:lang w:eastAsia="en-US"/>
              </w:rPr>
              <w:t>ädte Eggenfelden und Pfarrkirchen</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1</w:t>
            </w:r>
          </w:p>
        </w:tc>
        <w:tc>
          <w:tcPr>
            <w:tcW w:w="2267"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Bis 50 m²</w:t>
            </w:r>
          </w:p>
        </w:tc>
        <w:tc>
          <w:tcPr>
            <w:tcW w:w="198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38</w:t>
            </w:r>
            <w:r w:rsidRPr="00D067BC">
              <w:rPr>
                <w:rFonts w:eastAsia="Calibri" w:cs="Arial"/>
                <w:b/>
                <w:sz w:val="24"/>
                <w:szCs w:val="24"/>
                <w:lang w:eastAsia="en-US"/>
              </w:rPr>
              <w:t>2</w:t>
            </w:r>
          </w:p>
        </w:tc>
        <w:tc>
          <w:tcPr>
            <w:tcW w:w="212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431</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2</w:t>
            </w:r>
          </w:p>
        </w:tc>
        <w:tc>
          <w:tcPr>
            <w:tcW w:w="2267" w:type="dxa"/>
          </w:tcPr>
          <w:p w:rsidR="00DB024D" w:rsidRPr="00D067BC" w:rsidRDefault="00DB024D" w:rsidP="00A4176F">
            <w:pPr>
              <w:contextualSpacing/>
              <w:jc w:val="center"/>
              <w:rPr>
                <w:rFonts w:eastAsia="Calibri" w:cs="Arial"/>
                <w:sz w:val="24"/>
                <w:szCs w:val="24"/>
                <w:lang w:eastAsia="en-US"/>
              </w:rPr>
            </w:pPr>
            <w:r>
              <w:rPr>
                <w:rFonts w:eastAsia="Calibri" w:cs="Arial"/>
                <w:sz w:val="24"/>
                <w:szCs w:val="24"/>
                <w:lang w:eastAsia="en-US"/>
              </w:rPr>
              <w:t>Bis 65</w:t>
            </w:r>
            <w:r w:rsidRPr="00D067BC">
              <w:rPr>
                <w:rFonts w:eastAsia="Calibri" w:cs="Arial"/>
                <w:sz w:val="24"/>
                <w:szCs w:val="24"/>
                <w:lang w:eastAsia="en-US"/>
              </w:rPr>
              <w:t xml:space="preserve"> m²</w:t>
            </w:r>
          </w:p>
        </w:tc>
        <w:tc>
          <w:tcPr>
            <w:tcW w:w="1986" w:type="dxa"/>
          </w:tcPr>
          <w:p w:rsidR="00DB024D" w:rsidRPr="00D067BC" w:rsidRDefault="00DB024D" w:rsidP="00A4176F">
            <w:pPr>
              <w:contextualSpacing/>
              <w:jc w:val="center"/>
              <w:rPr>
                <w:rFonts w:eastAsia="Calibri" w:cs="Arial"/>
                <w:b/>
                <w:sz w:val="24"/>
                <w:szCs w:val="24"/>
                <w:lang w:eastAsia="en-US"/>
              </w:rPr>
            </w:pPr>
            <w:r w:rsidRPr="00D067BC">
              <w:rPr>
                <w:rFonts w:eastAsia="Calibri" w:cs="Arial"/>
                <w:b/>
                <w:sz w:val="24"/>
                <w:szCs w:val="24"/>
                <w:lang w:eastAsia="en-US"/>
              </w:rPr>
              <w:t>4</w:t>
            </w:r>
            <w:r>
              <w:rPr>
                <w:rFonts w:eastAsia="Calibri" w:cs="Arial"/>
                <w:b/>
                <w:sz w:val="24"/>
                <w:szCs w:val="24"/>
                <w:lang w:eastAsia="en-US"/>
              </w:rPr>
              <w:t>62</w:t>
            </w:r>
          </w:p>
        </w:tc>
        <w:tc>
          <w:tcPr>
            <w:tcW w:w="212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521</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3</w:t>
            </w:r>
          </w:p>
        </w:tc>
        <w:tc>
          <w:tcPr>
            <w:tcW w:w="2267"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Bis 75 m²</w:t>
            </w:r>
          </w:p>
        </w:tc>
        <w:tc>
          <w:tcPr>
            <w:tcW w:w="198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551</w:t>
            </w:r>
          </w:p>
        </w:tc>
        <w:tc>
          <w:tcPr>
            <w:tcW w:w="212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620</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4</w:t>
            </w:r>
          </w:p>
        </w:tc>
        <w:tc>
          <w:tcPr>
            <w:tcW w:w="2267"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Bis 90 m²</w:t>
            </w:r>
          </w:p>
        </w:tc>
        <w:tc>
          <w:tcPr>
            <w:tcW w:w="198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642</w:t>
            </w:r>
          </w:p>
        </w:tc>
        <w:tc>
          <w:tcPr>
            <w:tcW w:w="212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725</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5</w:t>
            </w:r>
          </w:p>
        </w:tc>
        <w:tc>
          <w:tcPr>
            <w:tcW w:w="2267" w:type="dxa"/>
          </w:tcPr>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Bis 105 m²</w:t>
            </w:r>
          </w:p>
        </w:tc>
        <w:tc>
          <w:tcPr>
            <w:tcW w:w="198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734</w:t>
            </w:r>
          </w:p>
        </w:tc>
        <w:tc>
          <w:tcPr>
            <w:tcW w:w="2126" w:type="dxa"/>
          </w:tcPr>
          <w:p w:rsidR="00DB024D" w:rsidRPr="00D067BC" w:rsidRDefault="00DB024D" w:rsidP="00A4176F">
            <w:pPr>
              <w:contextualSpacing/>
              <w:jc w:val="center"/>
              <w:rPr>
                <w:rFonts w:eastAsia="Calibri" w:cs="Arial"/>
                <w:b/>
                <w:sz w:val="24"/>
                <w:szCs w:val="24"/>
                <w:lang w:eastAsia="en-US"/>
              </w:rPr>
            </w:pPr>
            <w:r>
              <w:rPr>
                <w:rFonts w:eastAsia="Calibri" w:cs="Arial"/>
                <w:b/>
                <w:sz w:val="24"/>
                <w:szCs w:val="24"/>
                <w:lang w:eastAsia="en-US"/>
              </w:rPr>
              <w:t>827</w:t>
            </w:r>
          </w:p>
        </w:tc>
      </w:tr>
      <w:tr w:rsidR="00DB024D" w:rsidRPr="00D067BC" w:rsidTr="00A4176F">
        <w:tc>
          <w:tcPr>
            <w:tcW w:w="2410" w:type="dxa"/>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jede weitere Person</w:t>
            </w:r>
          </w:p>
        </w:tc>
        <w:tc>
          <w:tcPr>
            <w:tcW w:w="2267" w:type="dxa"/>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sidRPr="00D067BC">
              <w:rPr>
                <w:rFonts w:eastAsia="Calibri" w:cs="Arial"/>
                <w:sz w:val="24"/>
                <w:szCs w:val="24"/>
                <w:lang w:eastAsia="en-US"/>
              </w:rPr>
              <w:t>je 15 m²</w:t>
            </w:r>
          </w:p>
        </w:tc>
        <w:tc>
          <w:tcPr>
            <w:tcW w:w="1986" w:type="dxa"/>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Pr>
                <w:rFonts w:eastAsia="Calibri" w:cs="Arial"/>
                <w:sz w:val="24"/>
                <w:szCs w:val="24"/>
                <w:lang w:eastAsia="en-US"/>
              </w:rPr>
              <w:t>+ 87</w:t>
            </w:r>
          </w:p>
          <w:p w:rsidR="00DB024D" w:rsidRPr="00D067BC" w:rsidRDefault="00DB024D" w:rsidP="00A4176F">
            <w:pPr>
              <w:contextualSpacing/>
              <w:jc w:val="center"/>
              <w:rPr>
                <w:rFonts w:eastAsia="Calibri" w:cs="Arial"/>
                <w:sz w:val="24"/>
                <w:szCs w:val="24"/>
                <w:lang w:eastAsia="en-US"/>
              </w:rPr>
            </w:pPr>
          </w:p>
        </w:tc>
        <w:tc>
          <w:tcPr>
            <w:tcW w:w="2126" w:type="dxa"/>
          </w:tcPr>
          <w:p w:rsidR="00DB024D" w:rsidRPr="00D067BC" w:rsidRDefault="00DB024D" w:rsidP="00A4176F">
            <w:pPr>
              <w:contextualSpacing/>
              <w:jc w:val="center"/>
              <w:rPr>
                <w:rFonts w:eastAsia="Calibri" w:cs="Arial"/>
                <w:sz w:val="24"/>
                <w:szCs w:val="24"/>
                <w:lang w:eastAsia="en-US"/>
              </w:rPr>
            </w:pPr>
          </w:p>
          <w:p w:rsidR="00DB024D" w:rsidRPr="00D067BC" w:rsidRDefault="00DB024D" w:rsidP="00A4176F">
            <w:pPr>
              <w:contextualSpacing/>
              <w:jc w:val="center"/>
              <w:rPr>
                <w:rFonts w:eastAsia="Calibri" w:cs="Arial"/>
                <w:sz w:val="24"/>
                <w:szCs w:val="24"/>
                <w:lang w:eastAsia="en-US"/>
              </w:rPr>
            </w:pPr>
            <w:r>
              <w:rPr>
                <w:rFonts w:eastAsia="Calibri" w:cs="Arial"/>
                <w:sz w:val="24"/>
                <w:szCs w:val="24"/>
                <w:lang w:eastAsia="en-US"/>
              </w:rPr>
              <w:t>+ 99</w:t>
            </w:r>
          </w:p>
        </w:tc>
      </w:tr>
    </w:tbl>
    <w:p w:rsidR="00DB024D" w:rsidRPr="003901DD" w:rsidRDefault="00DB024D" w:rsidP="00DB024D">
      <w:pPr>
        <w:pStyle w:val="Listenabsatz"/>
        <w:ind w:left="0"/>
        <w:contextualSpacing w:val="0"/>
        <w:rPr>
          <w:i/>
          <w:sz w:val="16"/>
          <w:szCs w:val="16"/>
        </w:rPr>
      </w:pPr>
    </w:p>
    <w:p w:rsidR="00DB024D" w:rsidRDefault="00DB024D" w:rsidP="00DB024D">
      <w:pPr>
        <w:pStyle w:val="Listenabsatz"/>
        <w:ind w:left="0"/>
        <w:contextualSpacing w:val="0"/>
        <w:rPr>
          <w:b/>
          <w:u w:val="single"/>
        </w:rPr>
      </w:pPr>
    </w:p>
    <w:p w:rsidR="00DB024D" w:rsidRPr="00A66964" w:rsidRDefault="00DB024D" w:rsidP="00DB024D">
      <w:pPr>
        <w:jc w:val="both"/>
        <w:rPr>
          <w:rFonts w:cs="Arial"/>
          <w:sz w:val="28"/>
          <w:szCs w:val="28"/>
        </w:rPr>
      </w:pPr>
      <w:r>
        <w:t>In begründeten Einzelfällen ist als Maßstab für eine angemessen Miete von der jeweils nächst</w:t>
      </w:r>
      <w:r w:rsidR="00C37E9F">
        <w:t>-</w:t>
      </w:r>
      <w:r>
        <w:t xml:space="preserve"> höheren Personenzahl auszugehen.</w:t>
      </w:r>
    </w:p>
    <w:p w:rsidR="00DB024D" w:rsidRDefault="00DB024D" w:rsidP="00DB024D">
      <w:pPr>
        <w:jc w:val="both"/>
        <w:rPr>
          <w:rFonts w:cs="Arial"/>
          <w:noProof/>
        </w:rPr>
      </w:pPr>
    </w:p>
    <w:p w:rsidR="00DB024D" w:rsidRDefault="00DB024D" w:rsidP="00DB024D">
      <w:pPr>
        <w:jc w:val="both"/>
        <w:rPr>
          <w:rFonts w:cs="Arial"/>
        </w:rPr>
      </w:pPr>
      <w:r w:rsidRPr="002249C5">
        <w:rPr>
          <w:rFonts w:cs="Arial"/>
          <w:i/>
          <w:u w:val="single"/>
        </w:rPr>
        <w:t>Vor Abschluss eines Vertrages</w:t>
      </w:r>
      <w:r w:rsidRPr="008100CE">
        <w:rPr>
          <w:rFonts w:cs="Arial"/>
        </w:rPr>
        <w:t xml:space="preserve"> über eine neue Unterkunft soll</w:t>
      </w:r>
      <w:r>
        <w:rPr>
          <w:rFonts w:cs="Arial"/>
        </w:rPr>
        <w:t>en Sie</w:t>
      </w:r>
      <w:r w:rsidRPr="008100CE">
        <w:rPr>
          <w:rFonts w:cs="Arial"/>
        </w:rPr>
        <w:t xml:space="preserve"> </w:t>
      </w:r>
      <w:r>
        <w:rPr>
          <w:rFonts w:cs="Arial"/>
        </w:rPr>
        <w:t>unsere</w:t>
      </w:r>
      <w:r w:rsidRPr="008100CE">
        <w:rPr>
          <w:rFonts w:cs="Arial"/>
        </w:rPr>
        <w:t xml:space="preserve"> Zusicherung zu den Aufwendungen für die neue Unterkunft einholen. </w:t>
      </w:r>
      <w:r>
        <w:rPr>
          <w:rFonts w:cs="Arial"/>
        </w:rPr>
        <w:t>Wir sind</w:t>
      </w:r>
      <w:r w:rsidRPr="008100CE">
        <w:rPr>
          <w:rFonts w:cs="Arial"/>
        </w:rPr>
        <w:t xml:space="preserve"> zur Zusicherung </w:t>
      </w:r>
      <w:r>
        <w:rPr>
          <w:rFonts w:cs="Arial"/>
        </w:rPr>
        <w:t xml:space="preserve">nur </w:t>
      </w:r>
      <w:r w:rsidRPr="008100CE">
        <w:rPr>
          <w:rFonts w:cs="Arial"/>
        </w:rPr>
        <w:t>verpflichtet, wenn der Umzug erforderlich ist und die Aufwendungen für die Unterkunft angemes</w:t>
      </w:r>
      <w:r>
        <w:rPr>
          <w:rFonts w:cs="Arial"/>
        </w:rPr>
        <w:t>sen sind (§ 22 Abs. 4</w:t>
      </w:r>
      <w:r w:rsidRPr="008100CE">
        <w:rPr>
          <w:rFonts w:cs="Arial"/>
        </w:rPr>
        <w:t xml:space="preserve"> SGB II).</w:t>
      </w:r>
    </w:p>
    <w:p w:rsidR="00DB024D" w:rsidRDefault="00DB024D" w:rsidP="00DB024D">
      <w:pPr>
        <w:jc w:val="both"/>
      </w:pPr>
      <w:r>
        <w:t>Überdies ist die vorherige Zusicherung nach § 22 Abs. 6</w:t>
      </w:r>
      <w:r w:rsidRPr="001F4E6E">
        <w:t xml:space="preserve"> Satz 1 SGB II </w:t>
      </w:r>
      <w:r>
        <w:t>zwingende Voraussetzung für eine mögliche Übernahme der</w:t>
      </w:r>
      <w:r w:rsidRPr="001F4E6E">
        <w:t xml:space="preserve"> Wohnungsbeschaffungskosten, Mietkaution und Umzugskosten</w:t>
      </w:r>
      <w:r>
        <w:t xml:space="preserve">, die bei Bedarf rechtzeitig unter Vorlage des </w:t>
      </w:r>
      <w:r>
        <w:rPr>
          <w:u w:val="single"/>
        </w:rPr>
        <w:t xml:space="preserve">nicht </w:t>
      </w:r>
      <w:r>
        <w:t>unterschriebenen Mietvertrages zu beantragen sind</w:t>
      </w:r>
      <w:r w:rsidRPr="001F4E6E">
        <w:t>.</w:t>
      </w:r>
      <w:r w:rsidRPr="009A2968">
        <w:t xml:space="preserve"> </w:t>
      </w:r>
    </w:p>
    <w:p w:rsidR="00DB024D" w:rsidRDefault="00DB024D" w:rsidP="00DB024D">
      <w:pPr>
        <w:jc w:val="both"/>
      </w:pPr>
    </w:p>
    <w:p w:rsidR="00DB024D" w:rsidRDefault="00DB024D" w:rsidP="00DB024D">
      <w:pPr>
        <w:jc w:val="both"/>
        <w:rPr>
          <w:rFonts w:cs="Arial"/>
        </w:rPr>
      </w:pPr>
      <w:r w:rsidRPr="009750F8">
        <w:rPr>
          <w:rFonts w:cs="Arial"/>
        </w:rPr>
        <w:t xml:space="preserve">Sofern Personen, die das 25. Lebensjahr noch nicht vollendet haben, umziehen, werden ihnen Leistungen für Unterkunft und Heizung für die Zeit nach einem Umzug bis zur Vollendung des 25. Lebensjahres nur erbracht, wenn der kommunale Träger dies </w:t>
      </w:r>
      <w:r w:rsidRPr="009750F8">
        <w:rPr>
          <w:rFonts w:cs="Arial"/>
          <w:u w:val="single"/>
        </w:rPr>
        <w:t>vor Abschluss</w:t>
      </w:r>
      <w:r w:rsidRPr="009750F8">
        <w:rPr>
          <w:rFonts w:cs="Arial"/>
        </w:rPr>
        <w:t xml:space="preserve"> des Vertrages über die Unterkun</w:t>
      </w:r>
      <w:r>
        <w:rPr>
          <w:rFonts w:cs="Arial"/>
        </w:rPr>
        <w:t>ft zugesichert hat (§ 22 Abs. 5</w:t>
      </w:r>
      <w:r w:rsidRPr="009750F8">
        <w:rPr>
          <w:rFonts w:cs="Arial"/>
        </w:rPr>
        <w:t xml:space="preserve"> SGB II). Es muss nachvollzogen werden können, wie sich die Wohnsituation </w:t>
      </w:r>
      <w:r>
        <w:rPr>
          <w:rFonts w:cs="Arial"/>
        </w:rPr>
        <w:t>vor dem Umzug</w:t>
      </w:r>
      <w:r w:rsidRPr="009750F8">
        <w:rPr>
          <w:rFonts w:cs="Arial"/>
        </w:rPr>
        <w:t xml:space="preserve"> darstellt und warum diese nicht aufrechterhalten werden kann.</w:t>
      </w:r>
      <w:r>
        <w:rPr>
          <w:rFonts w:cs="Arial"/>
        </w:rPr>
        <w:t xml:space="preserve"> Diese zwingend erforderliche Zusicherung ist nur möglich, wenn der Jugendliche </w:t>
      </w:r>
      <w:r w:rsidRPr="004C094A">
        <w:rPr>
          <w:rFonts w:cs="Arial"/>
          <w:u w:val="single"/>
        </w:rPr>
        <w:t>aus schwerwiegenden sozialen Gründen</w:t>
      </w:r>
      <w:r>
        <w:rPr>
          <w:rFonts w:cs="Arial"/>
        </w:rPr>
        <w:t xml:space="preserve"> nicht auf die Wohnung der Eltern oder eines Elternteils verwiesen werden kann oder der Bezug der Unterkunft </w:t>
      </w:r>
      <w:r w:rsidRPr="004C094A">
        <w:rPr>
          <w:rFonts w:cs="Arial"/>
          <w:u w:val="single"/>
        </w:rPr>
        <w:t>zur Eingliederung in den Arbeitsmarkt</w:t>
      </w:r>
      <w:r>
        <w:rPr>
          <w:rFonts w:cs="Arial"/>
        </w:rPr>
        <w:t xml:space="preserve"> erforderlich ist. </w:t>
      </w:r>
    </w:p>
    <w:p w:rsidR="00DB024D" w:rsidRPr="009750F8" w:rsidRDefault="00DB024D" w:rsidP="00DB024D">
      <w:pPr>
        <w:jc w:val="both"/>
        <w:rPr>
          <w:rFonts w:cs="Arial"/>
        </w:rPr>
      </w:pPr>
      <w:r w:rsidRPr="009750F8">
        <w:rPr>
          <w:rFonts w:cs="Arial"/>
        </w:rPr>
        <w:t xml:space="preserve">Hierzu ist es erforderlich, dass unter Vorlage des </w:t>
      </w:r>
      <w:proofErr w:type="spellStart"/>
      <w:r w:rsidRPr="009750F8">
        <w:rPr>
          <w:rFonts w:cs="Arial"/>
        </w:rPr>
        <w:t>ununterschriebenen</w:t>
      </w:r>
      <w:proofErr w:type="spellEnd"/>
      <w:r w:rsidRPr="009750F8">
        <w:rPr>
          <w:rFonts w:cs="Arial"/>
        </w:rPr>
        <w:t xml:space="preserve"> Mietvertrages diese Gründe schriftlich gegenüber de</w:t>
      </w:r>
      <w:r>
        <w:rPr>
          <w:rFonts w:cs="Arial"/>
        </w:rPr>
        <w:t>m</w:t>
      </w:r>
      <w:r w:rsidRPr="009750F8">
        <w:rPr>
          <w:rFonts w:cs="Arial"/>
        </w:rPr>
        <w:t xml:space="preserve"> </w:t>
      </w:r>
      <w:r>
        <w:rPr>
          <w:rFonts w:cs="Arial"/>
        </w:rPr>
        <w:t>Jobcenter</w:t>
      </w:r>
      <w:r w:rsidRPr="009750F8">
        <w:rPr>
          <w:rFonts w:cs="Arial"/>
        </w:rPr>
        <w:t xml:space="preserve"> dargelegt, sowie auch Erklärungen beider Elternteile vorgelegt werden. </w:t>
      </w:r>
    </w:p>
    <w:p w:rsidR="00DB024D" w:rsidRDefault="00DB024D" w:rsidP="00DB024D">
      <w:pPr>
        <w:jc w:val="both"/>
      </w:pPr>
    </w:p>
    <w:p w:rsidR="00DB024D" w:rsidRDefault="00DB024D" w:rsidP="00DB024D">
      <w:pPr>
        <w:pBdr>
          <w:top w:val="single" w:sz="12" w:space="1" w:color="auto"/>
          <w:left w:val="single" w:sz="12" w:space="4" w:color="auto"/>
          <w:bottom w:val="single" w:sz="12" w:space="1" w:color="auto"/>
          <w:right w:val="single" w:sz="12" w:space="4" w:color="auto"/>
        </w:pBdr>
        <w:jc w:val="both"/>
      </w:pPr>
      <w:r>
        <w:rPr>
          <w:b/>
          <w:u w:val="single"/>
        </w:rPr>
        <w:t>Hinweis</w:t>
      </w:r>
      <w:r>
        <w:t>:</w:t>
      </w:r>
    </w:p>
    <w:p w:rsidR="00DB024D" w:rsidRDefault="00DB024D" w:rsidP="00DB024D">
      <w:pPr>
        <w:pBdr>
          <w:top w:val="single" w:sz="12" w:space="1" w:color="auto"/>
          <w:left w:val="single" w:sz="12" w:space="4" w:color="auto"/>
          <w:bottom w:val="single" w:sz="12" w:space="1" w:color="auto"/>
          <w:right w:val="single" w:sz="12" w:space="4" w:color="auto"/>
        </w:pBdr>
        <w:spacing w:after="240"/>
        <w:jc w:val="both"/>
      </w:pPr>
      <w:r>
        <w:t xml:space="preserve">Um die Angemessenheit der Aufwendungen der neuen Unterkunft und die Möglichkeit zur Erteilung der Zusicherung zum Umzug prüfen zu können, lassen Sie bitte die </w:t>
      </w:r>
      <w:r>
        <w:rPr>
          <w:u w:val="single"/>
        </w:rPr>
        <w:t>angefügte Mietbescheinigung</w:t>
      </w:r>
      <w:r>
        <w:t xml:space="preserve"> von Ihrem neuen Vermieter ausfüllen und reichen diese ein. </w:t>
      </w:r>
    </w:p>
    <w:p w:rsidR="00DB024D" w:rsidRDefault="00DB024D" w:rsidP="00DB024D">
      <w:pPr>
        <w:pBdr>
          <w:top w:val="single" w:sz="12" w:space="1" w:color="auto"/>
          <w:left w:val="single" w:sz="12" w:space="4" w:color="auto"/>
          <w:bottom w:val="single" w:sz="12" w:space="1" w:color="auto"/>
          <w:right w:val="single" w:sz="12" w:space="4" w:color="auto"/>
        </w:pBdr>
        <w:jc w:val="both"/>
      </w:pPr>
      <w:r>
        <w:t xml:space="preserve">Alternativ können Sie auch die in der Mietbescheinigung angegebene Daten auf andere Weise einreichen, z.B. durch Vorlage des </w:t>
      </w:r>
      <w:proofErr w:type="spellStart"/>
      <w:r>
        <w:t>ununterschriebenen</w:t>
      </w:r>
      <w:proofErr w:type="spellEnd"/>
      <w:r>
        <w:t xml:space="preserve"> Mietvertrages mit Ergänzung der darin nicht enthaltenen Angaben aus der Mietbescheinigung.  </w:t>
      </w:r>
    </w:p>
    <w:p w:rsidR="00DB024D" w:rsidRDefault="00DB024D" w:rsidP="00DB024D">
      <w:pPr>
        <w:jc w:val="both"/>
      </w:pPr>
    </w:p>
    <w:p w:rsidR="00DB024D" w:rsidRDefault="00DB024D" w:rsidP="00DB024D">
      <w:pPr>
        <w:jc w:val="both"/>
      </w:pPr>
      <w:r w:rsidRPr="00521804">
        <w:rPr>
          <w:u w:val="single"/>
        </w:rPr>
        <w:t>Bei einem Umzug außerhalb des Landkreises Rottal-Inn</w:t>
      </w:r>
      <w:r w:rsidRPr="002249C5">
        <w:t xml:space="preserve"> ist</w:t>
      </w:r>
      <w:r>
        <w:t xml:space="preserve"> </w:t>
      </w:r>
      <w:r w:rsidRPr="002249C5">
        <w:t>vor Abschluss des Mietvertrages, zusätzlich mit dem dann zuständigen Träger wegen der Angemessenheit der</w:t>
      </w:r>
      <w:r>
        <w:t xml:space="preserve"> Miete, Verbindung aufzunehmen, </w:t>
      </w:r>
      <w:r w:rsidRPr="002249C5">
        <w:t xml:space="preserve">wenn weiterhin Leistungen nach dem SGB </w:t>
      </w:r>
      <w:r>
        <w:t>II in Anspruch genommen werden.</w:t>
      </w:r>
    </w:p>
    <w:p w:rsidR="00DB024D" w:rsidRDefault="00DB024D" w:rsidP="00DB024D">
      <w:pPr>
        <w:jc w:val="both"/>
        <w:rPr>
          <w:rFonts w:cs="Arial"/>
        </w:rPr>
      </w:pPr>
      <w:r w:rsidRPr="002249C5">
        <w:t>Beachten Sie bitte auch, dass etwa über die Mietkaution der künftig zuständige Träger bereits entscheidet. Informieren Sie Sich deshalb bitte frühzeitig!</w:t>
      </w:r>
    </w:p>
    <w:p w:rsidR="00DB024D" w:rsidRDefault="00DB024D" w:rsidP="00DB024D">
      <w:pPr>
        <w:jc w:val="both"/>
        <w:rPr>
          <w:rFonts w:cs="Arial"/>
        </w:rPr>
      </w:pPr>
    </w:p>
    <w:p w:rsidR="00DB024D" w:rsidRPr="008100CE" w:rsidRDefault="00DB024D" w:rsidP="00DB024D">
      <w:pPr>
        <w:jc w:val="both"/>
        <w:rPr>
          <w:rFonts w:cs="Arial"/>
        </w:rPr>
      </w:pPr>
      <w:r>
        <w:rPr>
          <w:rFonts w:cs="Arial"/>
        </w:rPr>
        <w:t xml:space="preserve">Melden Sie bitte unbedingt ihren Umzug – mit Blick auf Adressänderung sowie geänderte Miethöhe – rechtzeitig in dem Jobcenter Rottal-Inn. Ein Verstoß gegen diese allgemeine Mitteilungspflicht erfüllt im Übrigen auch den Tatbestand der Ordnungswidrigkeit. </w:t>
      </w:r>
    </w:p>
    <w:p w:rsidR="00DB024D" w:rsidRPr="008100CE" w:rsidRDefault="00DB024D" w:rsidP="00DB024D">
      <w:pPr>
        <w:rPr>
          <w:rFonts w:cs="Arial"/>
        </w:rPr>
      </w:pPr>
    </w:p>
    <w:p w:rsidR="00DB024D" w:rsidRDefault="00DB024D" w:rsidP="00DB024D">
      <w:r>
        <w:t>Mit freundlichen Grüßen</w:t>
      </w:r>
    </w:p>
    <w:p w:rsidR="00DB024D" w:rsidRDefault="00DB024D" w:rsidP="00DB024D"/>
    <w:p w:rsidR="00DB024D" w:rsidRDefault="00DB024D" w:rsidP="00DB024D"/>
    <w:p w:rsidR="00DB024D" w:rsidRDefault="00DB024D" w:rsidP="00DB024D">
      <w:pPr>
        <w:rPr>
          <w:b/>
          <w:sz w:val="18"/>
          <w:szCs w:val="18"/>
        </w:rPr>
      </w:pPr>
      <w:r>
        <w:rPr>
          <w:i/>
        </w:rPr>
        <w:t>Ihr</w:t>
      </w:r>
      <w:r w:rsidRPr="000C2F66">
        <w:rPr>
          <w:i/>
        </w:rPr>
        <w:t xml:space="preserve"> </w:t>
      </w:r>
      <w:r>
        <w:rPr>
          <w:i/>
        </w:rPr>
        <w:t>Jobcenter</w:t>
      </w:r>
    </w:p>
    <w:p w:rsidR="00DA53E3" w:rsidRDefault="00DA53E3" w:rsidP="00DB024D"/>
    <w:p w:rsidR="00B25FBB" w:rsidRDefault="00B25FBB" w:rsidP="00DB024D"/>
    <w:p w:rsidR="00B25FBB" w:rsidRDefault="00B25FBB" w:rsidP="00DB024D"/>
    <w:p w:rsidR="00C17A22" w:rsidRDefault="00C17A22" w:rsidP="00DB024D"/>
    <w:p w:rsidR="00C17A22" w:rsidRDefault="00C17A22" w:rsidP="00DB024D"/>
    <w:p w:rsidR="00C17A22" w:rsidRDefault="00C17A22" w:rsidP="00DB024D"/>
    <w:p w:rsidR="00C17A22" w:rsidRDefault="00C17A22" w:rsidP="00DB024D"/>
    <w:p w:rsidR="00C17A22" w:rsidRDefault="00C17A22" w:rsidP="00DB024D"/>
    <w:p w:rsidR="00C17A22" w:rsidRDefault="00C17A22" w:rsidP="00DB024D"/>
    <w:p w:rsidR="00C17A22" w:rsidRDefault="00C17A22" w:rsidP="00DB024D"/>
    <w:p w:rsidR="00B25FBB" w:rsidRPr="00DB024D" w:rsidRDefault="00B25FBB" w:rsidP="00DB024D">
      <w:r>
        <w:rPr>
          <w:rFonts w:eastAsiaTheme="minorHAnsi"/>
          <w:sz w:val="20"/>
          <w:lang w:eastAsia="en-US"/>
        </w:rPr>
        <w:t xml:space="preserve">Informationen zum Datenschutz finden Sie unter </w:t>
      </w:r>
      <w:hyperlink r:id="rId8" w:history="1">
        <w:r w:rsidRPr="005332E6">
          <w:rPr>
            <w:rStyle w:val="Hyperlink"/>
            <w:rFonts w:eastAsiaTheme="minorHAnsi"/>
            <w:sz w:val="20"/>
            <w:lang w:eastAsia="en-US"/>
          </w:rPr>
          <w:t>www.rottal-inn.de/datenschutz</w:t>
        </w:r>
      </w:hyperlink>
    </w:p>
    <w:sectPr w:rsidR="00B25FBB" w:rsidRPr="00DB024D" w:rsidSect="00681BCA">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D3" w:rsidRDefault="00B96FD3" w:rsidP="00130683">
      <w:r>
        <w:separator/>
      </w:r>
    </w:p>
  </w:endnote>
  <w:endnote w:type="continuationSeparator" w:id="0">
    <w:p w:rsidR="00B96FD3" w:rsidRDefault="00B96FD3" w:rsidP="001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1C" w:rsidRDefault="004211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1C" w:rsidRDefault="004211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1C" w:rsidRDefault="004211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D3" w:rsidRDefault="00B96FD3" w:rsidP="00130683">
      <w:r>
        <w:separator/>
      </w:r>
    </w:p>
  </w:footnote>
  <w:footnote w:type="continuationSeparator" w:id="0">
    <w:p w:rsidR="00B96FD3" w:rsidRDefault="00B96FD3" w:rsidP="0013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1C" w:rsidRDefault="00421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FBA" w:rsidRDefault="00D067BC" w:rsidP="00A43FBA">
    <w:pPr>
      <w:pStyle w:val="Kopfzeile"/>
      <w:jc w:val="right"/>
    </w:pPr>
    <w:r>
      <w:t xml:space="preserve">Stand </w:t>
    </w:r>
    <w:r w:rsidR="0042111C">
      <w:t>01.01.2024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11C" w:rsidRDefault="004211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7"/>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2"/>
  </w:num>
  <w:num w:numId="14">
    <w:abstractNumId w:val="1"/>
  </w:num>
  <w:num w:numId="15">
    <w:abstractNumId w:val="0"/>
  </w:num>
  <w:num w:numId="16">
    <w:abstractNumId w:val="7"/>
  </w:num>
  <w:num w:numId="17">
    <w:abstractNumId w:val="6"/>
  </w:num>
  <w:num w:numId="18">
    <w:abstractNumId w:val="2"/>
  </w:num>
  <w:num w:numId="19">
    <w:abstractNumId w:val="1"/>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83"/>
    <w:rsid w:val="0000419A"/>
    <w:rsid w:val="00092490"/>
    <w:rsid w:val="000C1056"/>
    <w:rsid w:val="00130683"/>
    <w:rsid w:val="00155FAE"/>
    <w:rsid w:val="001C37F5"/>
    <w:rsid w:val="001E1CE5"/>
    <w:rsid w:val="001E7269"/>
    <w:rsid w:val="00200677"/>
    <w:rsid w:val="0021121F"/>
    <w:rsid w:val="002155B6"/>
    <w:rsid w:val="0022690B"/>
    <w:rsid w:val="002B23BB"/>
    <w:rsid w:val="002C4823"/>
    <w:rsid w:val="002E3856"/>
    <w:rsid w:val="002F586D"/>
    <w:rsid w:val="0033690C"/>
    <w:rsid w:val="00354097"/>
    <w:rsid w:val="003D0169"/>
    <w:rsid w:val="0041163E"/>
    <w:rsid w:val="0042111C"/>
    <w:rsid w:val="00425B6F"/>
    <w:rsid w:val="00454151"/>
    <w:rsid w:val="00472DDE"/>
    <w:rsid w:val="00475C44"/>
    <w:rsid w:val="005C127F"/>
    <w:rsid w:val="005D1517"/>
    <w:rsid w:val="005F6EBB"/>
    <w:rsid w:val="00643E50"/>
    <w:rsid w:val="00650F14"/>
    <w:rsid w:val="00655BCB"/>
    <w:rsid w:val="00660D96"/>
    <w:rsid w:val="00681BCA"/>
    <w:rsid w:val="0069707E"/>
    <w:rsid w:val="006B1DAF"/>
    <w:rsid w:val="00736B52"/>
    <w:rsid w:val="007B08D7"/>
    <w:rsid w:val="007D1808"/>
    <w:rsid w:val="00852165"/>
    <w:rsid w:val="008A73DC"/>
    <w:rsid w:val="008F0D75"/>
    <w:rsid w:val="0091371F"/>
    <w:rsid w:val="00934743"/>
    <w:rsid w:val="00961105"/>
    <w:rsid w:val="00982501"/>
    <w:rsid w:val="00986DE6"/>
    <w:rsid w:val="009A2AA4"/>
    <w:rsid w:val="00AD20C3"/>
    <w:rsid w:val="00B159F7"/>
    <w:rsid w:val="00B173E6"/>
    <w:rsid w:val="00B25FBB"/>
    <w:rsid w:val="00B96FD3"/>
    <w:rsid w:val="00BA63D4"/>
    <w:rsid w:val="00BF1D54"/>
    <w:rsid w:val="00C17A22"/>
    <w:rsid w:val="00C37E9F"/>
    <w:rsid w:val="00C56B7D"/>
    <w:rsid w:val="00C8009C"/>
    <w:rsid w:val="00D067BC"/>
    <w:rsid w:val="00D15746"/>
    <w:rsid w:val="00D74C46"/>
    <w:rsid w:val="00DA53E3"/>
    <w:rsid w:val="00DB024D"/>
    <w:rsid w:val="00DE676A"/>
    <w:rsid w:val="00DF69A0"/>
    <w:rsid w:val="00E32C71"/>
    <w:rsid w:val="00E802E2"/>
    <w:rsid w:val="00EA54AA"/>
    <w:rsid w:val="00EA5FF3"/>
    <w:rsid w:val="00F13239"/>
    <w:rsid w:val="00F14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3491-AD53-4C0E-B91E-88F44340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0683"/>
    <w:pPr>
      <w:spacing w:after="0" w:line="240" w:lineRule="auto"/>
    </w:pPr>
    <w:rPr>
      <w:rFonts w:ascii="Arial" w:eastAsia="Times New Roman" w:hAnsi="Arial" w:cs="Times New Roman"/>
      <w:lang w:eastAsia="de-DE"/>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lang w:eastAsia="en-US"/>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lang w:eastAsia="en-US"/>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lang w:eastAsia="en-US"/>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lang w:eastAsia="en-US"/>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lang w:eastAsia="en-US"/>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lang w:eastAsia="en-U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lang w:eastAsia="en-US"/>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rFonts w:eastAsiaTheme="minorHAnsi" w:cstheme="minorBidi"/>
      <w:sz w:val="16"/>
      <w:lang w:eastAsia="en-US"/>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rPr>
      <w:rFonts w:eastAsiaTheme="minorHAnsi" w:cstheme="minorBidi"/>
      <w:lang w:eastAsia="en-US"/>
    </w:r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i/>
      <w:sz w:val="16"/>
      <w:szCs w:val="20"/>
      <w:lang w:eastAsia="en-US"/>
    </w:rPr>
  </w:style>
  <w:style w:type="paragraph" w:styleId="Textkrper">
    <w:name w:val="Body Text"/>
    <w:basedOn w:val="Standard"/>
    <w:link w:val="TextkrperZchn"/>
    <w:uiPriority w:val="99"/>
    <w:semiHidden/>
    <w:unhideWhenUsed/>
    <w:rsid w:val="005F6EBB"/>
    <w:pPr>
      <w:spacing w:after="120"/>
    </w:pPr>
    <w:rPr>
      <w:rFonts w:eastAsiaTheme="minorHAnsi" w:cstheme="minorBidi"/>
      <w:lang w:eastAsia="en-US"/>
    </w:r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sz w:val="72"/>
      <w:szCs w:val="20"/>
      <w:lang w:eastAsia="en-US"/>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qFormat/>
    <w:rsid w:val="007D1808"/>
    <w:pPr>
      <w:ind w:left="720"/>
      <w:contextualSpacing/>
    </w:pPr>
    <w:rPr>
      <w:rFonts w:eastAsiaTheme="minorHAnsi" w:cstheme="minorBidi"/>
      <w:lang w:eastAsia="en-US"/>
    </w:rPr>
  </w:style>
  <w:style w:type="paragraph" w:styleId="Kopfzeile">
    <w:name w:val="header"/>
    <w:basedOn w:val="Standard"/>
    <w:link w:val="KopfzeileZchn"/>
    <w:uiPriority w:val="99"/>
    <w:unhideWhenUsed/>
    <w:rsid w:val="00130683"/>
    <w:pPr>
      <w:tabs>
        <w:tab w:val="center" w:pos="4536"/>
        <w:tab w:val="right" w:pos="9072"/>
      </w:tabs>
    </w:pPr>
  </w:style>
  <w:style w:type="character" w:customStyle="1" w:styleId="KopfzeileZchn">
    <w:name w:val="Kopfzeile Zchn"/>
    <w:basedOn w:val="Absatz-Standardschriftart"/>
    <w:link w:val="Kopfzeile"/>
    <w:uiPriority w:val="99"/>
    <w:rsid w:val="00130683"/>
    <w:rPr>
      <w:rFonts w:ascii="Arial" w:eastAsia="Times New Roman" w:hAnsi="Arial" w:cs="Times New Roman"/>
      <w:lang w:eastAsia="de-DE"/>
    </w:rPr>
  </w:style>
  <w:style w:type="paragraph" w:styleId="Fuzeile">
    <w:name w:val="footer"/>
    <w:basedOn w:val="Standard"/>
    <w:link w:val="FuzeileZchn"/>
    <w:uiPriority w:val="99"/>
    <w:unhideWhenUsed/>
    <w:rsid w:val="00130683"/>
    <w:pPr>
      <w:tabs>
        <w:tab w:val="center" w:pos="4536"/>
        <w:tab w:val="right" w:pos="9072"/>
      </w:tabs>
    </w:pPr>
  </w:style>
  <w:style w:type="character" w:customStyle="1" w:styleId="FuzeileZchn">
    <w:name w:val="Fußzeile Zchn"/>
    <w:basedOn w:val="Absatz-Standardschriftart"/>
    <w:link w:val="Fuzeile"/>
    <w:uiPriority w:val="99"/>
    <w:rsid w:val="00130683"/>
    <w:rPr>
      <w:rFonts w:ascii="Arial" w:eastAsia="Times New Roman" w:hAnsi="Arial" w:cs="Times New Roman"/>
      <w:lang w:eastAsia="de-DE"/>
    </w:rPr>
  </w:style>
  <w:style w:type="table" w:styleId="Tabellenraster">
    <w:name w:val="Table Grid"/>
    <w:basedOn w:val="NormaleTabelle"/>
    <w:uiPriority w:val="39"/>
    <w:rsid w:val="00130683"/>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sid w:val="00130683"/>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200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0677"/>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B25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al-inn.de/datenschut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 Sven</dc:creator>
  <cp:keywords/>
  <dc:description/>
  <cp:lastModifiedBy>Diem Alexandra</cp:lastModifiedBy>
  <cp:revision>4</cp:revision>
  <cp:lastPrinted>2023-01-25T07:44:00Z</cp:lastPrinted>
  <dcterms:created xsi:type="dcterms:W3CDTF">2023-12-15T11:08:00Z</dcterms:created>
  <dcterms:modified xsi:type="dcterms:W3CDTF">2023-12-19T07:22:00Z</dcterms:modified>
</cp:coreProperties>
</file>