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bookmarkStart w:id="0" w:name="_GoBack"/>
      <w:bookmarkEnd w:id="0"/>
      <w:r w:rsidRPr="0076779F">
        <w:rPr>
          <w:rFonts w:cs="Arial"/>
          <w:b/>
          <w:noProof/>
          <w:color w:val="3761A1"/>
          <w:spacing w:val="20"/>
          <w:sz w:val="4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24138F5" wp14:editId="3B32C94C">
            <wp:simplePos x="0" y="0"/>
            <wp:positionH relativeFrom="column">
              <wp:posOffset>-981682</wp:posOffset>
            </wp:positionH>
            <wp:positionV relativeFrom="paragraph">
              <wp:posOffset>13648</wp:posOffset>
            </wp:positionV>
            <wp:extent cx="10723445" cy="2483892"/>
            <wp:effectExtent l="0" t="0" r="1905" b="0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" r="1" b="84169"/>
                    <a:stretch/>
                  </pic:blipFill>
                  <pic:spPr bwMode="auto">
                    <a:xfrm>
                      <a:off x="0" y="0"/>
                      <a:ext cx="10723295" cy="24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963323">
        <w:rPr>
          <w:rFonts w:cs="Arial"/>
          <w:b/>
          <w:noProof/>
          <w:color w:val="3761A1"/>
          <w:spacing w:val="20"/>
          <w:sz w:val="44"/>
          <w:lang w:val="de-DE" w:eastAsia="de-DE"/>
        </w:rPr>
        <w:drawing>
          <wp:anchor distT="0" distB="0" distL="114300" distR="114300" simplePos="0" relativeHeight="251657215" behindDoc="0" locked="0" layoutInCell="1" allowOverlap="1" wp14:anchorId="61B11413" wp14:editId="615C1696">
            <wp:simplePos x="0" y="0"/>
            <wp:positionH relativeFrom="column">
              <wp:posOffset>-795020</wp:posOffset>
            </wp:positionH>
            <wp:positionV relativeFrom="paragraph">
              <wp:posOffset>200660</wp:posOffset>
            </wp:positionV>
            <wp:extent cx="10528935" cy="9372600"/>
            <wp:effectExtent l="0" t="0" r="571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2026" r="14225" b="14376"/>
                    <a:stretch/>
                  </pic:blipFill>
                  <pic:spPr bwMode="auto">
                    <a:xfrm>
                      <a:off x="0" y="0"/>
                      <a:ext cx="10528935" cy="9372600"/>
                    </a:xfrm>
                    <a:prstGeom prst="dodecagon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9F" w:rsidRDefault="00DB21E7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793E15">
        <w:rPr>
          <w:rFonts w:cs="Arial"/>
          <w:b/>
          <w:noProof/>
          <w:color w:val="3761A1"/>
          <w:spacing w:val="20"/>
          <w:sz w:val="5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EB19" wp14:editId="733B1E0F">
                <wp:simplePos x="0" y="0"/>
                <wp:positionH relativeFrom="column">
                  <wp:posOffset>-71120</wp:posOffset>
                </wp:positionH>
                <wp:positionV relativeFrom="paragraph">
                  <wp:posOffset>402590</wp:posOffset>
                </wp:positionV>
                <wp:extent cx="9258300" cy="2295525"/>
                <wp:effectExtent l="0" t="0" r="0" b="0"/>
                <wp:wrapNone/>
                <wp:docPr id="7" name="Inhaltsplatzhalt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58300" cy="2295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F00" w:rsidRDefault="004C7F00" w:rsidP="00E93E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</w:pPr>
                            <w:r w:rsidRPr="00793E1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>PROJEKT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 xml:space="preserve"> AB 151 –</w:t>
                            </w:r>
                          </w:p>
                          <w:p w:rsidR="004C7F00" w:rsidRPr="00793E15" w:rsidRDefault="004C7F00" w:rsidP="00E93EC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>GSU Unterer Inn</w:t>
                            </w:r>
                          </w:p>
                          <w:p w:rsidR="004C7F00" w:rsidRPr="00DB21E7" w:rsidRDefault="004C7F00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DB21E7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Grenzüberschreitende Steuerungs- und Umweltbildungs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-</w:t>
                            </w:r>
                            <w:r w:rsidRPr="00DB21E7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2"/>
                                <w:szCs w:val="52"/>
                              </w:rPr>
                              <w:t>einrichtung für die Schutzgebiete am Unteren Inn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FEB19" id="_x0000_t202" coordsize="21600,21600" o:spt="202" path="m,l,21600r21600,l21600,xe">
                <v:stroke joinstyle="miter"/>
                <v:path gradientshapeok="t" o:connecttype="rect"/>
              </v:shapetype>
              <v:shape id="Inhaltsplatzhalter 3" o:spid="_x0000_s1026" type="#_x0000_t202" style="position:absolute;left:0;text-align:left;margin-left:-5.6pt;margin-top:31.7pt;width:729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" filled="f" stroked="f">
                <v:path arrowok="t"/>
                <v:textbox>
                  <w:txbxContent>
                    <w:p w:rsidR="004C7F00" w:rsidRDefault="004C7F00" w:rsidP="00E93EC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</w:pPr>
                      <w:r w:rsidRPr="00793E15"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>PROJEKT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 xml:space="preserve"> AB 151 –</w:t>
                      </w:r>
                    </w:p>
                    <w:p w:rsidR="004C7F00" w:rsidRPr="00793E15" w:rsidRDefault="004C7F00" w:rsidP="00E93EC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>GSU Unterer Inn</w:t>
                      </w:r>
                    </w:p>
                    <w:p w:rsidR="004C7F00" w:rsidRPr="00DB21E7" w:rsidRDefault="004C7F00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DB21E7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Grenzüberschreitende Steuerungs- und Umweltbildungs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-</w:t>
                      </w:r>
                      <w:r w:rsidRPr="00DB21E7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2"/>
                          <w:szCs w:val="52"/>
                        </w:rPr>
                        <w:t>einrichtung für die Schutzgebiete am Unteren Inn</w:t>
                      </w:r>
                    </w:p>
                  </w:txbxContent>
                </v:textbox>
              </v:shape>
            </w:pict>
          </mc:Fallback>
        </mc:AlternateContent>
      </w:r>
    </w:p>
    <w:p w:rsidR="0076779F" w:rsidRPr="00793E15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DB21E7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45568E">
        <w:rPr>
          <w:rFonts w:cs="Arial"/>
          <w:b/>
          <w:noProof/>
          <w:color w:val="3761A1"/>
          <w:spacing w:val="20"/>
          <w:sz w:val="4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150" wp14:editId="7D58C1FE">
                <wp:simplePos x="0" y="0"/>
                <wp:positionH relativeFrom="column">
                  <wp:posOffset>-185420</wp:posOffset>
                </wp:positionH>
                <wp:positionV relativeFrom="paragraph">
                  <wp:posOffset>120650</wp:posOffset>
                </wp:positionV>
                <wp:extent cx="9305925" cy="7448550"/>
                <wp:effectExtent l="0" t="0" r="0" b="0"/>
                <wp:wrapNone/>
                <wp:docPr id="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744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7F00" w:rsidRPr="008165D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Lebensräume am Unteren Inn zählen zu bedeutendsten Brut-, Rast-, Überwinterungs-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Mausergebieten in Mitteleuropa, sie umfassen in B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ayern und Oberösterreich ein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gemeinsames RAMSAR-Gebiet, 3 nationale Naturschutzgebiete (2 in BY, 1 in OÖ) und 4 Gebiete (2 FFH, 1 SPA, 1 Europaschutz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-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gebiet) als Teil des europaweiten Verbundsystems NATURA2000. Ziele für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diese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Gebiete sind ungestörte Stillgewässer, fließgewässerdynamischer Prozesse, auetypischer Vielfalt an Lebensräumen und funktionaler Zusammenhang mit angrenzenden Gebieten. </w:t>
                            </w:r>
                          </w:p>
                          <w:p w:rsidR="004C7F00" w:rsidRPr="008165D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Das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Projekt soll Standards schaffen, um Betreuung quantitativ (ganzjährig) sicher zu stellen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auf sämtliche NATURA 2000-Aspekte (Flussdynamik, Auen, Brennen, Altwässer usw.) auszuweiten. 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b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etreute Fläche wird von 19,55 km² um 11,04 km² auf 30,59 km² erhöht. Die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l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angfristige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Betreuung soll durch Erarbeitung einer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Kooperationsvereinbarung für das naturschutzfachliche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Projektmanagement auf Basis von Managementplänen (NATURA 2000), Erkenntnissen des LIFE -Projektes Unterer Inn mit Auen, aktuellen Bearbeitungen und unter Einbindung der relevanten Akteure sichergestellt werden. Hier wird die Art der Zusammenarbeit, die Koordinierung des 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grenzüberschreitenden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Managements für die Schutzgebiete, gemeinsame Forschungen und Maßnahmen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festgelegt.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Die Einrichtung eines g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renzüberschreitenden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Steuerungszentrums für naturschutzfachliche Aktivitäten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als Umweltbildungseinrichtung für die Einbindung der Bevölkerung folgt einer übergeordneten Gesamtperspektive mit dauerhafter Betreuung aller Schutzgebiete zur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Bewahrung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Weiterentwicklung der Biodiversität am Unteren Inn. Der Standort liegt im geografischen Schwerpunkt d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er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Schutzgebiete in Ering (BY) u</w:t>
                            </w:r>
                            <w:r w:rsidR="00CD28FD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nd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Mining (OÖ), hier besteht langfristig aufgrund naturräumlicher Gegebenheiten der einzige freie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8165D7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Zugang zum Fluss.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Unter anderem sind folgende Maßnahmen geplant: Ausbau des Info-Zentrums in Ering, Installierung eines Hausbootes mit Ausstellung in Ering sowie die Installierung einer Ausstellung im 3. OG im Salzstadel Frauenstein, Errichtung von sechs Naturbeobachtungsstationen.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Lead-Partner: Landkreis Rottal-Inn, Bayern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Projektpartner: Gemeinde Mining, Oberösterreich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 xml:space="preserve">Projektlaufzeit: 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1.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5.2017 – 30.</w:t>
                            </w:r>
                            <w:r w:rsidR="00DD663C"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4.2020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Gesamtprojektkosten: 1.958.892,- Euro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  <w:t>Eingeplante EFRE-Mittel: 1.469.169,- Euro</w:t>
                            </w: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OpenSans" w:hAnsi="OpenSans" w:cs="OpenSans"/>
                                <w:color w:val="365F91" w:themeColor="accent1" w:themeShade="BF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:rsidR="004C7F00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color w:val="3761A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4C7F00" w:rsidRPr="00DB21E7" w:rsidRDefault="004C7F00" w:rsidP="00A62D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Calibri" w:cs="Arial"/>
                                <w:color w:val="3761A1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62150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7" type="#_x0000_t202" style="position:absolute;left:0;text-align:left;margin-left:-14.6pt;margin-top:9.5pt;width:732.75pt;height:5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" filled="f" stroked="f">
                <v:path arrowok="t"/>
                <v:textbox>
                  <w:txbxContent>
                    <w:p w:rsidR="004C7F00" w:rsidRPr="008165D7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Lebensräume am Unteren Inn zählen zu bedeutendsten Brut-, Rast-, Überwinterungs-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Mausergebieten in Mitteleuropa, sie umfassen in B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ayern und Oberösterreich ein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gemeinsames RAMSAR-Gebiet, 3 nationale Naturschutzgebiete (2 in BY, 1 in OÖ) und 4 Gebiete (2 FFH, 1 SPA, 1 Europaschutz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-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gebiet) als Teil des europaweiten Verbundsystems NATURA2000. Ziele für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diese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Gebiete sind ungestörte Stillgewässer, fließgewässerdynamischer Prozesse, auetypischer Vielfalt an Lebensräumen und funktionaler Zusammenhang mit angrenzenden Gebieten. </w:t>
                      </w:r>
                    </w:p>
                    <w:p w:rsidR="004C7F00" w:rsidRPr="008165D7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Das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Projekt soll Standards schaffen, um Betreuung quantitativ (ganzjährig) sicher zu stellen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auf sämtliche NATURA 2000-Aspekte (Flussdynamik, Auen, Brennen, Altwässer usw.) auszuweiten. 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b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etreute Fläche wird von 19,55 km² um 11,04 km² auf 30,59 km² erhöht. Die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l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angfristige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Betreuung soll durch Erarbeitung einer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Kooperationsvereinbarung für das naturschutzfachliche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Projektmanagement auf Basis von Managementplänen (NATURA 2000), Erkenntnissen des LIFE -Projektes Unterer Inn mit Auen, aktuellen Bearbeitungen und unter Einbindung der relevanten Akteure sichergestellt werden. Hier wird die Art der Zusammenarbeit, die Koordinierung des 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grenzüberschreitenden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Managements für die Schutzgebiete, gemeinsame Forschungen und Maßnahmen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festgelegt.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Die Einrichtung eines g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renzüberschreitenden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Steuerungszentrums für naturschutzfachliche Aktivitäten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als Umweltbildungseinrichtung für die Einbindung der Bevölkerung folgt einer übergeordneten Gesamtperspektive mit dauerhafter Betreuung aller Schutzgebiete zur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Bewahrung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Weiterentwicklung der Biodiversität am Unteren Inn. Der Standort liegt im geografischen Schwerpunkt d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er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Schutzgebiete in Ering (BY) u</w:t>
                      </w:r>
                      <w:r w:rsidR="00CD28FD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nd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Mining (OÖ), hier besteht langfristig aufgrund naturräumlicher Gegebenheiten der einzige freie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 w:rsidRPr="008165D7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Zugang zum Fluss.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Unter anderem sind folgende Maßnahmen geplant: Ausbau des Info-Zentrums in Ering, Installierung eines Hausbootes mit Ausstellung in Ering sowie die Installierung einer Ausstellung im 3. OG im Salzstadel Frauenstein, Errichtung von sechs Naturbeobachtungsstationen.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Lead-Partner: Landkreis Rottal-Inn, Bayern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Projektpartner: Gemeinde Mining, Oberösterreich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 xml:space="preserve">Projektlaufzeit: 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1.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5.2017 – 30.</w:t>
                      </w:r>
                      <w:r w:rsidR="00DD663C"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0</w:t>
                      </w: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4.2020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Gesamtprojektkosten: 1.958.892,- Euro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  <w:t>Eingeplante EFRE-Mittel: 1.469.169,- Euro</w:t>
                      </w: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OpenSans" w:hAnsi="OpenSans" w:cs="OpenSans"/>
                          <w:color w:val="365F91" w:themeColor="accent1" w:themeShade="BF"/>
                          <w:sz w:val="32"/>
                          <w:szCs w:val="32"/>
                          <w:lang w:val="de-DE"/>
                        </w:rPr>
                      </w:pPr>
                    </w:p>
                    <w:p w:rsidR="004C7F00" w:rsidRDefault="004C7F00" w:rsidP="00A62D56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color w:val="3761A1"/>
                          <w:kern w:val="24"/>
                          <w:sz w:val="48"/>
                          <w:szCs w:val="48"/>
                          <w:lang w:val="de-DE"/>
                        </w:rPr>
                      </w:pPr>
                    </w:p>
                    <w:p w:rsidR="004C7F00" w:rsidRPr="00DB21E7" w:rsidRDefault="004C7F00" w:rsidP="00A62D56">
                      <w:pPr>
                        <w:autoSpaceDE w:val="0"/>
                        <w:autoSpaceDN w:val="0"/>
                        <w:adjustRightInd w:val="0"/>
                        <w:rPr>
                          <w:rFonts w:eastAsia="Calibri" w:cs="Arial"/>
                          <w:color w:val="3761A1"/>
                          <w:kern w:val="24"/>
                          <w:sz w:val="48"/>
                          <w:szCs w:val="4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8165D7" w:rsidRDefault="008165D7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4C7F00" w:rsidRDefault="004C7F00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</w:p>
    <w:p w:rsidR="0045568E" w:rsidRDefault="00CD28FD" w:rsidP="0073535C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  <w:r>
        <w:rPr>
          <w:rFonts w:cs="Arial"/>
          <w:b/>
          <w:noProof/>
          <w:color w:val="3761A1"/>
          <w:spacing w:val="20"/>
          <w:sz w:val="52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1006295</wp:posOffset>
            </wp:positionH>
            <wp:positionV relativeFrom="paragraph">
              <wp:posOffset>351155</wp:posOffset>
            </wp:positionV>
            <wp:extent cx="658800" cy="658800"/>
            <wp:effectExtent l="0" t="0" r="825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ottal-inn_25m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35C">
        <w:rPr>
          <w:rFonts w:cs="Arial"/>
          <w:b/>
          <w:color w:val="3761A1"/>
          <w:spacing w:val="20"/>
          <w:sz w:val="44"/>
        </w:rPr>
        <w:t xml:space="preserve">     </w:t>
      </w:r>
      <w:r>
        <w:rPr>
          <w:rFonts w:cs="Arial"/>
          <w:b/>
          <w:color w:val="3761A1"/>
          <w:spacing w:val="20"/>
          <w:sz w:val="44"/>
        </w:rPr>
        <w:t>Landkreis</w:t>
      </w:r>
      <w:r w:rsidR="0073535C">
        <w:rPr>
          <w:rFonts w:cs="Arial"/>
          <w:b/>
          <w:color w:val="3761A1"/>
          <w:spacing w:val="20"/>
          <w:sz w:val="44"/>
        </w:rPr>
        <w:t xml:space="preserve"> Rottal-Inn</w:t>
      </w:r>
      <w:r w:rsidR="0045568E" w:rsidRPr="00793E15">
        <w:rPr>
          <w:rFonts w:cs="Arial"/>
          <w:b/>
          <w:color w:val="3761A1"/>
          <w:spacing w:val="20"/>
          <w:sz w:val="44"/>
        </w:rPr>
        <w:tab/>
      </w:r>
      <w:r w:rsidR="0073535C">
        <w:rPr>
          <w:rFonts w:cs="Arial"/>
          <w:b/>
          <w:color w:val="3761A1"/>
          <w:spacing w:val="20"/>
          <w:sz w:val="44"/>
        </w:rPr>
        <w:t xml:space="preserve"> Gemeinde Mining</w:t>
      </w:r>
    </w:p>
    <w:p w:rsidR="0073535C" w:rsidRPr="00793E15" w:rsidRDefault="0073535C" w:rsidP="0073535C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52"/>
        </w:rPr>
      </w:pPr>
      <w:r>
        <w:rPr>
          <w:rFonts w:cs="Arial"/>
          <w:b/>
          <w:noProof/>
          <w:color w:val="3761A1"/>
          <w:spacing w:val="20"/>
          <w:sz w:val="52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6386830</wp:posOffset>
            </wp:positionH>
            <wp:positionV relativeFrom="paragraph">
              <wp:posOffset>24765</wp:posOffset>
            </wp:positionV>
            <wp:extent cx="542925" cy="644271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-fär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6779F" w:rsidRPr="00793E15" w:rsidRDefault="0076779F" w:rsidP="0076779F">
      <w:pPr>
        <w:shd w:val="clear" w:color="auto" w:fill="3761A1"/>
        <w:tabs>
          <w:tab w:val="left" w:pos="284"/>
        </w:tabs>
        <w:ind w:left="-1417" w:right="-1417" w:firstLine="1133"/>
        <w:rPr>
          <w:rFonts w:cs="Arial"/>
          <w:b/>
          <w:color w:val="FFFFFF" w:themeColor="background1"/>
          <w:sz w:val="52"/>
        </w:rPr>
      </w:pPr>
      <w:r w:rsidRPr="00793E15">
        <w:rPr>
          <w:rFonts w:cs="Arial"/>
          <w:b/>
          <w:color w:val="FFFFFF" w:themeColor="background1"/>
          <w:sz w:val="52"/>
        </w:rPr>
        <w:t>www.interreg-bayaut.net</w:t>
      </w:r>
    </w:p>
    <w:p w:rsidR="00CB7BBC" w:rsidRDefault="00CB7BBC" w:rsidP="00CB7BBC"/>
    <w:p w:rsidR="00DA32E3" w:rsidRPr="00DA32E3" w:rsidRDefault="00DA32E3" w:rsidP="00DA32E3">
      <w:pPr>
        <w:jc w:val="right"/>
        <w:rPr>
          <w:sz w:val="18"/>
          <w:szCs w:val="18"/>
        </w:rPr>
      </w:pPr>
      <w:r w:rsidRPr="00DA32E3">
        <w:rPr>
          <w:sz w:val="18"/>
          <w:szCs w:val="18"/>
        </w:rPr>
        <w:t>Aushangpflicht bis 30.04.2020</w:t>
      </w:r>
    </w:p>
    <w:sectPr w:rsidR="00DA32E3" w:rsidRPr="00DA32E3" w:rsidSect="00DA32E3">
      <w:pgSz w:w="16839" w:h="23814" w:code="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F"/>
    <w:rsid w:val="000E1486"/>
    <w:rsid w:val="00252F31"/>
    <w:rsid w:val="0045568E"/>
    <w:rsid w:val="004C7F00"/>
    <w:rsid w:val="00583E6A"/>
    <w:rsid w:val="005D4655"/>
    <w:rsid w:val="005E74C7"/>
    <w:rsid w:val="0073535C"/>
    <w:rsid w:val="0076779F"/>
    <w:rsid w:val="00771865"/>
    <w:rsid w:val="00793E15"/>
    <w:rsid w:val="007C619E"/>
    <w:rsid w:val="007C65B4"/>
    <w:rsid w:val="008028A7"/>
    <w:rsid w:val="008165D7"/>
    <w:rsid w:val="00850050"/>
    <w:rsid w:val="00910FC0"/>
    <w:rsid w:val="00947D36"/>
    <w:rsid w:val="00953689"/>
    <w:rsid w:val="00963323"/>
    <w:rsid w:val="009A0450"/>
    <w:rsid w:val="009B01B2"/>
    <w:rsid w:val="00A62D56"/>
    <w:rsid w:val="00CB7BBC"/>
    <w:rsid w:val="00CD28FD"/>
    <w:rsid w:val="00CE10CC"/>
    <w:rsid w:val="00DA32E3"/>
    <w:rsid w:val="00DB21E7"/>
    <w:rsid w:val="00DD663C"/>
    <w:rsid w:val="00E93ECD"/>
    <w:rsid w:val="00F31365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docId w15:val="{CEB19230-8C9F-4BEE-8639-6463A756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4FB6-08AC-4616-973F-0EDED68A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Verena</dc:creator>
  <cp:lastModifiedBy>Dadalas Renate</cp:lastModifiedBy>
  <cp:revision>2</cp:revision>
  <cp:lastPrinted>2017-05-19T06:39:00Z</cp:lastPrinted>
  <dcterms:created xsi:type="dcterms:W3CDTF">2019-04-15T09:15:00Z</dcterms:created>
  <dcterms:modified xsi:type="dcterms:W3CDTF">2019-04-15T09:15:00Z</dcterms:modified>
</cp:coreProperties>
</file>