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C24A99" w:rsidP="00904131">
      <w:pPr>
        <w:jc w:val="right"/>
        <w:rPr>
          <w:b/>
          <w:color w:val="232323"/>
          <w:sz w:val="22"/>
        </w:rPr>
      </w:pPr>
      <w:bookmarkStart w:id="0" w:name="_GoBack"/>
      <w:bookmarkEnd w:id="0"/>
      <w:r>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617332" w:rsidRPr="00617332" w:rsidRDefault="00617332" w:rsidP="00617332">
      <w:pPr>
        <w:ind w:left="426"/>
        <w:jc w:val="right"/>
        <w:rPr>
          <w:b/>
          <w:color w:val="232323"/>
          <w:sz w:val="22"/>
          <w:szCs w:val="22"/>
        </w:rPr>
      </w:pPr>
    </w:p>
    <w:p w:rsidR="00617332" w:rsidRDefault="00C24A99"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17332" w:rsidRDefault="00617332" w:rsidP="00617332">
      <w:pPr>
        <w:spacing w:before="1"/>
        <w:ind w:left="426"/>
        <w:rPr>
          <w:rFonts w:eastAsiaTheme="minorHAnsi"/>
          <w:sz w:val="22"/>
          <w:szCs w:val="22"/>
        </w:rPr>
      </w:pPr>
    </w:p>
    <w:p w:rsidR="00617332" w:rsidRDefault="00617332" w:rsidP="00904131">
      <w:pPr>
        <w:spacing w:before="1"/>
        <w:rPr>
          <w:rFonts w:eastAsiaTheme="minorHAnsi"/>
          <w:sz w:val="22"/>
          <w:szCs w:val="22"/>
        </w:rPr>
      </w:pPr>
    </w:p>
    <w:p w:rsidR="00C53AC8" w:rsidRDefault="00C53AC8" w:rsidP="00904131">
      <w:pPr>
        <w:spacing w:before="1"/>
        <w:rPr>
          <w:rFonts w:eastAsiaTheme="minorHAnsi"/>
          <w:sz w:val="22"/>
          <w:szCs w:val="22"/>
        </w:rPr>
      </w:pPr>
    </w:p>
    <w:p w:rsidR="00C53AC8" w:rsidRPr="00C53AC8" w:rsidRDefault="00C24A99" w:rsidP="00C53AC8">
      <w:pPr>
        <w:rPr>
          <w:b/>
          <w:sz w:val="28"/>
          <w:szCs w:val="28"/>
        </w:rPr>
      </w:pPr>
      <w:r w:rsidRPr="00C53AC8">
        <w:rPr>
          <w:b/>
          <w:sz w:val="28"/>
          <w:szCs w:val="28"/>
        </w:rPr>
        <w:t>Informationsblatt - Umzug</w:t>
      </w:r>
    </w:p>
    <w:p w:rsidR="00C53AC8" w:rsidRDefault="00C53AC8" w:rsidP="00C53AC8"/>
    <w:p w:rsidR="00C53AC8" w:rsidRPr="007A7010" w:rsidRDefault="00C24A99" w:rsidP="00C53AC8">
      <w:pPr>
        <w:rPr>
          <w:sz w:val="22"/>
          <w:szCs w:val="22"/>
        </w:rPr>
      </w:pPr>
      <w:r w:rsidRPr="007A7010">
        <w:rPr>
          <w:sz w:val="22"/>
          <w:szCs w:val="22"/>
        </w:rPr>
        <w:t>Sehr geehrte Damen und Herren</w:t>
      </w:r>
      <w:r w:rsidRPr="007A7010">
        <w:rPr>
          <w:sz w:val="22"/>
          <w:szCs w:val="22"/>
        </w:rPr>
        <w:fldChar w:fldCharType="begin"/>
      </w:r>
      <w:r w:rsidRPr="007A7010">
        <w:rPr>
          <w:sz w:val="22"/>
          <w:szCs w:val="22"/>
        </w:rPr>
        <w:instrText xml:space="preserve"> FILLIN  "Anrede Name HE"  \* MERGEFORMAT </w:instrText>
      </w:r>
      <w:r w:rsidRPr="007A7010">
        <w:rPr>
          <w:sz w:val="22"/>
          <w:szCs w:val="22"/>
        </w:rPr>
        <w:fldChar w:fldCharType="end"/>
      </w:r>
      <w:r w:rsidRPr="007A7010">
        <w:rPr>
          <w:sz w:val="22"/>
          <w:szCs w:val="22"/>
        </w:rPr>
        <w:t xml:space="preserve">, </w:t>
      </w:r>
    </w:p>
    <w:p w:rsidR="00C53AC8" w:rsidRPr="00B16913" w:rsidRDefault="00C53AC8" w:rsidP="00C53AC8">
      <w:pPr>
        <w:rPr>
          <w:sz w:val="20"/>
          <w:szCs w:val="22"/>
        </w:rPr>
      </w:pPr>
    </w:p>
    <w:p w:rsidR="00C53AC8" w:rsidRPr="007A7010" w:rsidRDefault="00C24A99" w:rsidP="00C53AC8">
      <w:pPr>
        <w:jc w:val="both"/>
        <w:rPr>
          <w:sz w:val="22"/>
          <w:szCs w:val="22"/>
        </w:rPr>
      </w:pPr>
      <w:r w:rsidRPr="007A7010">
        <w:rPr>
          <w:sz w:val="22"/>
          <w:szCs w:val="22"/>
        </w:rPr>
        <w:t>wir dürfen Ihnen folgende allgemeine Hinweise in Hinblick auf einen Umzug geben:</w:t>
      </w:r>
    </w:p>
    <w:p w:rsidR="00C53AC8" w:rsidRPr="00B16913" w:rsidRDefault="00C53AC8" w:rsidP="00C53AC8">
      <w:pPr>
        <w:jc w:val="both"/>
        <w:rPr>
          <w:sz w:val="20"/>
          <w:szCs w:val="22"/>
        </w:rPr>
      </w:pPr>
    </w:p>
    <w:p w:rsidR="00C76B38" w:rsidRPr="00C76B38" w:rsidRDefault="00C24A99" w:rsidP="00C76B38">
      <w:pPr>
        <w:jc w:val="both"/>
        <w:rPr>
          <w:sz w:val="22"/>
          <w:szCs w:val="22"/>
        </w:rPr>
      </w:pPr>
      <w:r w:rsidRPr="007A7010">
        <w:rPr>
          <w:sz w:val="22"/>
          <w:szCs w:val="22"/>
        </w:rPr>
        <w:t xml:space="preserve">Die Bedarfe für die Unterkunft werden nach § 35 Abs. 1 Satz 1 SGB XII grundsätzlich in Höhe der tatsächlichen Aufwendungen anerkannt. Übersteigen die Aufwendungen für die Unterkunft </w:t>
      </w:r>
      <w:r w:rsidRPr="00C76B38">
        <w:rPr>
          <w:sz w:val="22"/>
          <w:szCs w:val="22"/>
        </w:rPr>
        <w:t>den der Besonderheit des Einzelfalles angemessenen Umfang, gilt dies solan</w:t>
      </w:r>
      <w:r w:rsidRPr="00C76B38">
        <w:rPr>
          <w:sz w:val="22"/>
          <w:szCs w:val="22"/>
        </w:rPr>
        <w:t xml:space="preserve">ge, als es nicht möglich oder nicht zuzumuten ist, durch einen Wohnungswechsel, durch Vermieten oder auf andere Weise die Aufwendungen zu senken, in der Regel jedoch längstens für sechs Monate (§ 35 Abs. 3 Satz 1, 2 SGB XII). </w:t>
      </w:r>
      <w:r w:rsidRPr="00C76B38">
        <w:rPr>
          <w:b/>
          <w:sz w:val="22"/>
          <w:szCs w:val="22"/>
        </w:rPr>
        <w:t>Sind die Aufwendungen für eine</w:t>
      </w:r>
      <w:r w:rsidRPr="00C76B38">
        <w:rPr>
          <w:b/>
          <w:sz w:val="22"/>
          <w:szCs w:val="22"/>
        </w:rPr>
        <w:t xml:space="preserve"> neue Unterkunft unangemessen hoch, ist der Träger der Sozialhilfe nur zur Übernahme angemessener Aufwendungen verpflichtet</w:t>
      </w:r>
      <w:r w:rsidRPr="00C76B38">
        <w:rPr>
          <w:sz w:val="22"/>
          <w:szCs w:val="22"/>
        </w:rPr>
        <w:t>, es sei denn, er hat den darüberhinausgehenden Aufwendungen vorher zugestimmt (§ 35a Abs. 2 Satz 2 SGB XII).</w:t>
      </w:r>
    </w:p>
    <w:p w:rsidR="00C53AC8" w:rsidRPr="007A7010" w:rsidRDefault="00C24A99" w:rsidP="00C76B38">
      <w:pPr>
        <w:jc w:val="both"/>
        <w:rPr>
          <w:rFonts w:cs="Arial"/>
          <w:noProof/>
          <w:sz w:val="22"/>
          <w:szCs w:val="22"/>
        </w:rPr>
      </w:pPr>
      <w:r w:rsidRPr="00C76B38">
        <w:rPr>
          <w:sz w:val="22"/>
          <w:szCs w:val="22"/>
        </w:rPr>
        <w:t xml:space="preserve">Eine Zustimmung zum </w:t>
      </w:r>
      <w:r w:rsidRPr="00C76B38">
        <w:rPr>
          <w:sz w:val="22"/>
          <w:szCs w:val="22"/>
        </w:rPr>
        <w:t>Umzug kann nur erteilt werden, wenn der Umzug durch den Träger der Sozialhilfe veranlasst wird oder aus anderen Gründen notwen</w:t>
      </w:r>
      <w:r>
        <w:rPr>
          <w:sz w:val="22"/>
          <w:szCs w:val="22"/>
        </w:rPr>
        <w:t xml:space="preserve">dig ist </w:t>
      </w:r>
      <w:r w:rsidRPr="007A7010">
        <w:rPr>
          <w:rFonts w:cs="Arial"/>
          <w:noProof/>
          <w:sz w:val="22"/>
          <w:szCs w:val="22"/>
        </w:rPr>
        <w:t>und ohne die Zustimmung eine Unterkunft in einem angemessenen Zeitraum nicht gefunden werden kann (§ 35a Abs. 2 Satz 3 SGB</w:t>
      </w:r>
      <w:r w:rsidRPr="007A7010">
        <w:rPr>
          <w:rFonts w:cs="Arial"/>
          <w:noProof/>
          <w:sz w:val="22"/>
          <w:szCs w:val="22"/>
        </w:rPr>
        <w:t xml:space="preserve"> XII). </w:t>
      </w:r>
      <w:r w:rsidRPr="007A7010">
        <w:rPr>
          <w:sz w:val="22"/>
          <w:szCs w:val="22"/>
        </w:rPr>
        <w:t>Eine Notwendigkeit liegt nur dann vor, wenn neben dem Auszug aus der bisherigen Wohnung auch der Einzug in die konkrete neue Wohnung erforderlich ist (vgl. LSG Sachsen, Beschl. v. 26.10.2009 – L 3 B 768-08 SO/ER). Hinzu kommt, dass ein Umzug nur dan</w:t>
      </w:r>
      <w:r w:rsidRPr="007A7010">
        <w:rPr>
          <w:sz w:val="22"/>
          <w:szCs w:val="22"/>
        </w:rPr>
        <w:t>n notwendig i.</w:t>
      </w:r>
      <w:r w:rsidR="008411DF">
        <w:rPr>
          <w:sz w:val="22"/>
          <w:szCs w:val="22"/>
        </w:rPr>
        <w:t xml:space="preserve"> </w:t>
      </w:r>
      <w:r w:rsidRPr="007A7010">
        <w:rPr>
          <w:sz w:val="22"/>
          <w:szCs w:val="22"/>
        </w:rPr>
        <w:t>S.</w:t>
      </w:r>
      <w:r>
        <w:rPr>
          <w:sz w:val="22"/>
          <w:szCs w:val="22"/>
        </w:rPr>
        <w:t xml:space="preserve"> </w:t>
      </w:r>
      <w:r w:rsidRPr="007A7010">
        <w:rPr>
          <w:sz w:val="22"/>
          <w:szCs w:val="22"/>
        </w:rPr>
        <w:t>d. § 35a Abs. 2 Satz 3 SGB XII sein kann, wenn er in eine kostenangemessene Wohnung erfolgt (vgl. BSG, Urt. v. 06.08.2014 – B 4 AS 37/13 R).</w:t>
      </w:r>
      <w:r w:rsidRPr="007A7010">
        <w:rPr>
          <w:rFonts w:ascii="Verdana" w:eastAsiaTheme="minorHAnsi" w:hAnsi="Verdana" w:cs="Verdana"/>
          <w:sz w:val="22"/>
          <w:szCs w:val="22"/>
          <w:lang w:eastAsia="en-US"/>
        </w:rPr>
        <w:t xml:space="preserve"> </w:t>
      </w:r>
      <w:r w:rsidRPr="007A7010">
        <w:rPr>
          <w:rFonts w:cs="Arial"/>
          <w:noProof/>
          <w:sz w:val="22"/>
          <w:szCs w:val="22"/>
        </w:rPr>
        <w:t>Sind diese Voraussetzungen für den Umzug (vgl. Aus- und Einzug) nicht gegeben, können unter Umstä</w:t>
      </w:r>
      <w:r w:rsidRPr="007A7010">
        <w:rPr>
          <w:rFonts w:cs="Arial"/>
          <w:noProof/>
          <w:sz w:val="22"/>
          <w:szCs w:val="22"/>
        </w:rPr>
        <w:t xml:space="preserve">nden auch die laufenden Mietzahlungen nur in Höhe der Angemessenheitsgrenze anerkannt werden. </w:t>
      </w:r>
    </w:p>
    <w:p w:rsidR="00C53AC8" w:rsidRPr="00AC3C9E" w:rsidRDefault="00C53AC8" w:rsidP="00C53AC8">
      <w:pPr>
        <w:jc w:val="both"/>
        <w:rPr>
          <w:rFonts w:cs="Arial"/>
          <w:noProof/>
          <w:sz w:val="20"/>
          <w:szCs w:val="22"/>
        </w:rPr>
      </w:pPr>
    </w:p>
    <w:p w:rsidR="00C53AC8" w:rsidRPr="007A7010" w:rsidRDefault="00C24A99" w:rsidP="00C53AC8">
      <w:pPr>
        <w:jc w:val="both"/>
        <w:rPr>
          <w:rFonts w:cs="Arial"/>
          <w:noProof/>
          <w:sz w:val="22"/>
          <w:szCs w:val="22"/>
        </w:rPr>
      </w:pPr>
      <w:r w:rsidRPr="007A7010">
        <w:rPr>
          <w:rFonts w:cs="Arial"/>
          <w:noProof/>
          <w:sz w:val="22"/>
          <w:szCs w:val="22"/>
        </w:rPr>
        <w:t xml:space="preserve">Nach § 35a Abs. 2 Satz 4 SGB XII werden innerhalb der Karenzzeit nach § 35 Abs. 1 Satz 2 SGB XII (1 Jahr ab Beginn des Monats, für den erstmals Leistungen nach </w:t>
      </w:r>
      <w:r w:rsidRPr="007A7010">
        <w:rPr>
          <w:rFonts w:cs="Arial"/>
          <w:noProof/>
          <w:sz w:val="22"/>
          <w:szCs w:val="22"/>
        </w:rPr>
        <w:t>dem SGB II/ SGB XII bezogen werden) nach einem Umzug höhere als angemessene Aufwendungen nur dann als Bedarf anerkannt, wenn der Träger der Sozialhilfe die Anerkennung vorab zugesichert hat.</w:t>
      </w:r>
    </w:p>
    <w:p w:rsidR="00C53AC8" w:rsidRPr="00AC3C9E" w:rsidRDefault="00C53AC8" w:rsidP="00C53AC8">
      <w:pPr>
        <w:jc w:val="both"/>
        <w:rPr>
          <w:rFonts w:cs="Arial"/>
          <w:noProof/>
          <w:sz w:val="20"/>
          <w:szCs w:val="22"/>
        </w:rPr>
      </w:pPr>
    </w:p>
    <w:p w:rsidR="00C53AC8" w:rsidRPr="007A7010" w:rsidRDefault="00C24A99" w:rsidP="00C53AC8">
      <w:pPr>
        <w:jc w:val="both"/>
        <w:rPr>
          <w:rFonts w:cs="Arial"/>
          <w:sz w:val="22"/>
          <w:szCs w:val="22"/>
        </w:rPr>
      </w:pPr>
      <w:r w:rsidRPr="007A7010">
        <w:rPr>
          <w:rFonts w:cs="Arial"/>
          <w:b/>
          <w:sz w:val="22"/>
          <w:szCs w:val="22"/>
        </w:rPr>
        <w:t xml:space="preserve">Setzen Sie sich bitte deshalb zur Vermeidung von Nachteilen mit </w:t>
      </w:r>
      <w:r w:rsidRPr="007A7010">
        <w:rPr>
          <w:rFonts w:cs="Arial"/>
          <w:b/>
          <w:sz w:val="22"/>
          <w:szCs w:val="22"/>
        </w:rPr>
        <w:t>Ihrem zuständigen Sachbearbeiter in Verbindung, wenn Sie eine andere Wohnung in Aussicht haben</w:t>
      </w:r>
      <w:r w:rsidRPr="007A7010">
        <w:rPr>
          <w:rFonts w:cs="Arial"/>
          <w:sz w:val="22"/>
          <w:szCs w:val="22"/>
        </w:rPr>
        <w:t xml:space="preserve">, damit wir </w:t>
      </w:r>
      <w:r w:rsidRPr="007A7010">
        <w:rPr>
          <w:rFonts w:cs="Arial"/>
          <w:b/>
          <w:sz w:val="22"/>
          <w:szCs w:val="22"/>
        </w:rPr>
        <w:t>vor Abschluss des Mietvertrages</w:t>
      </w:r>
      <w:r w:rsidRPr="007A7010">
        <w:rPr>
          <w:rFonts w:cs="Arial"/>
          <w:sz w:val="22"/>
          <w:szCs w:val="22"/>
        </w:rPr>
        <w:t xml:space="preserve"> prüfen können, ob Miete und Heizkosten in Ihrem Einzelfall angemessen sind sowie ob die Notwendigkeit des Umzuges aner</w:t>
      </w:r>
      <w:r w:rsidRPr="007A7010">
        <w:rPr>
          <w:rFonts w:cs="Arial"/>
          <w:sz w:val="22"/>
          <w:szCs w:val="22"/>
        </w:rPr>
        <w:t xml:space="preserve">kannt werden kann. </w:t>
      </w:r>
    </w:p>
    <w:p w:rsidR="00C53AC8" w:rsidRPr="00AC3C9E" w:rsidRDefault="00C53AC8" w:rsidP="00C53AC8">
      <w:pPr>
        <w:rPr>
          <w:sz w:val="20"/>
          <w:szCs w:val="22"/>
        </w:rPr>
      </w:pPr>
    </w:p>
    <w:p w:rsidR="00C53AC8" w:rsidRPr="007A7010" w:rsidRDefault="00C24A99" w:rsidP="00C53AC8">
      <w:pPr>
        <w:pStyle w:val="Listenabsatz"/>
        <w:ind w:left="0"/>
        <w:rPr>
          <w:b/>
          <w:u w:val="single"/>
        </w:rPr>
      </w:pPr>
      <w:r w:rsidRPr="007A7010">
        <w:rPr>
          <w:b/>
          <w:u w:val="single"/>
        </w:rPr>
        <w:t>Höchstbeträge für Mieten – Kaltmiete und Nebenk</w:t>
      </w:r>
      <w:r w:rsidR="007A7010">
        <w:rPr>
          <w:b/>
          <w:u w:val="single"/>
        </w:rPr>
        <w:t>osten ohne Heizung ab 01.01.2025</w:t>
      </w:r>
      <w:r w:rsidRPr="007A7010">
        <w:rPr>
          <w:b/>
          <w:u w:val="single"/>
        </w:rPr>
        <w:t>:</w:t>
      </w:r>
    </w:p>
    <w:p w:rsidR="00C53AC8" w:rsidRPr="00ED63ED" w:rsidRDefault="00C53AC8" w:rsidP="00C53AC8">
      <w:pPr>
        <w:rPr>
          <w:rFonts w:eastAsia="Calibri"/>
          <w:sz w:val="12"/>
          <w:lang w:eastAsia="en-US"/>
        </w:rPr>
      </w:pPr>
    </w:p>
    <w:tbl>
      <w:tblPr>
        <w:tblStyle w:val="Tabellenraster12"/>
        <w:tblW w:w="9923" w:type="dxa"/>
        <w:tblInd w:w="-5" w:type="dxa"/>
        <w:tblLayout w:type="fixed"/>
        <w:tblLook w:val="04A0" w:firstRow="1" w:lastRow="0" w:firstColumn="1" w:lastColumn="0" w:noHBand="0" w:noVBand="1"/>
      </w:tblPr>
      <w:tblGrid>
        <w:gridCol w:w="2738"/>
        <w:gridCol w:w="2507"/>
        <w:gridCol w:w="2410"/>
        <w:gridCol w:w="2268"/>
      </w:tblGrid>
      <w:tr w:rsidR="00907E85" w:rsidTr="00C76B38">
        <w:trPr>
          <w:trHeight w:val="780"/>
        </w:trPr>
        <w:tc>
          <w:tcPr>
            <w:tcW w:w="2738"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C53AC8" w:rsidRDefault="00C53AC8">
            <w:pPr>
              <w:spacing w:after="160" w:line="254" w:lineRule="auto"/>
              <w:contextualSpacing/>
              <w:jc w:val="center"/>
              <w:rPr>
                <w:rFonts w:ascii="Calibri" w:hAnsi="Calibri" w:cs="Calibri"/>
                <w:b/>
                <w:sz w:val="20"/>
                <w:lang w:eastAsia="en-US"/>
              </w:rPr>
            </w:pPr>
          </w:p>
          <w:p w:rsidR="00C53AC8" w:rsidRDefault="00C53AC8">
            <w:pPr>
              <w:spacing w:after="160" w:line="254" w:lineRule="auto"/>
              <w:contextualSpacing/>
              <w:jc w:val="center"/>
              <w:rPr>
                <w:rFonts w:cs="Calibri"/>
                <w:b/>
                <w:sz w:val="20"/>
                <w:lang w:eastAsia="en-US"/>
              </w:rPr>
            </w:pPr>
          </w:p>
          <w:p w:rsidR="00C53AC8" w:rsidRDefault="00C53AC8">
            <w:pPr>
              <w:spacing w:after="160" w:line="254" w:lineRule="auto"/>
              <w:contextualSpacing/>
              <w:jc w:val="center"/>
              <w:rPr>
                <w:rFonts w:cs="Calibri"/>
                <w:b/>
                <w:sz w:val="20"/>
                <w:lang w:eastAsia="en-US"/>
              </w:rPr>
            </w:pPr>
          </w:p>
          <w:p w:rsidR="00C53AC8" w:rsidRDefault="00C24A99">
            <w:pPr>
              <w:spacing w:after="160" w:line="254" w:lineRule="auto"/>
              <w:contextualSpacing/>
              <w:jc w:val="center"/>
              <w:rPr>
                <w:rFonts w:cs="Calibri"/>
                <w:b/>
                <w:sz w:val="20"/>
                <w:lang w:eastAsia="en-US"/>
              </w:rPr>
            </w:pPr>
            <w:r>
              <w:rPr>
                <w:rFonts w:cs="Calibri"/>
                <w:b/>
                <w:sz w:val="20"/>
                <w:lang w:eastAsia="en-US"/>
              </w:rPr>
              <w:t>Anzahl der zu berücksichtigenden Haushaltsmitglieder</w:t>
            </w:r>
          </w:p>
        </w:tc>
        <w:tc>
          <w:tcPr>
            <w:tcW w:w="2507"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C53AC8" w:rsidRDefault="00C53AC8">
            <w:pPr>
              <w:spacing w:after="160" w:line="254" w:lineRule="auto"/>
              <w:contextualSpacing/>
              <w:jc w:val="center"/>
              <w:rPr>
                <w:rFonts w:cs="Calibri"/>
                <w:b/>
                <w:sz w:val="20"/>
                <w:lang w:eastAsia="en-US"/>
              </w:rPr>
            </w:pPr>
          </w:p>
          <w:p w:rsidR="00C53AC8" w:rsidRDefault="00C53AC8">
            <w:pPr>
              <w:spacing w:after="160" w:line="254" w:lineRule="auto"/>
              <w:contextualSpacing/>
              <w:jc w:val="center"/>
              <w:rPr>
                <w:rFonts w:cs="Calibri"/>
                <w:b/>
                <w:sz w:val="20"/>
                <w:lang w:eastAsia="en-US"/>
              </w:rPr>
            </w:pPr>
          </w:p>
          <w:p w:rsidR="00C53AC8" w:rsidRDefault="00C53AC8">
            <w:pPr>
              <w:spacing w:after="160" w:line="254" w:lineRule="auto"/>
              <w:contextualSpacing/>
              <w:jc w:val="center"/>
              <w:rPr>
                <w:rFonts w:cs="Calibri"/>
                <w:b/>
                <w:sz w:val="20"/>
                <w:lang w:eastAsia="en-US"/>
              </w:rPr>
            </w:pPr>
          </w:p>
          <w:p w:rsidR="00C53AC8" w:rsidRDefault="00C24A99">
            <w:pPr>
              <w:spacing w:after="160" w:line="254" w:lineRule="auto"/>
              <w:contextualSpacing/>
              <w:jc w:val="center"/>
              <w:rPr>
                <w:rFonts w:cs="Calibri"/>
                <w:b/>
                <w:sz w:val="20"/>
                <w:lang w:eastAsia="en-US"/>
              </w:rPr>
            </w:pPr>
            <w:r>
              <w:rPr>
                <w:rFonts w:cs="Calibri"/>
                <w:b/>
                <w:sz w:val="20"/>
                <w:lang w:eastAsia="en-US"/>
              </w:rPr>
              <w:t>Angemessene Wohnfläche lt. Wohnraumförderungs-bestimmungen</w:t>
            </w:r>
          </w:p>
        </w:tc>
        <w:tc>
          <w:tcPr>
            <w:tcW w:w="4678" w:type="dxa"/>
            <w:gridSpan w:val="2"/>
            <w:tcBorders>
              <w:top w:val="single" w:sz="4" w:space="0" w:color="000000"/>
              <w:left w:val="single" w:sz="4" w:space="0" w:color="000000"/>
              <w:bottom w:val="single" w:sz="4" w:space="0" w:color="000000"/>
              <w:right w:val="single" w:sz="4" w:space="0" w:color="000000"/>
            </w:tcBorders>
            <w:shd w:val="clear" w:color="auto" w:fill="F2F2F2"/>
          </w:tcPr>
          <w:p w:rsidR="00C53AC8" w:rsidRDefault="00C53AC8">
            <w:pPr>
              <w:spacing w:after="160" w:line="254" w:lineRule="auto"/>
              <w:contextualSpacing/>
              <w:rPr>
                <w:rFonts w:cs="Calibri"/>
                <w:b/>
                <w:sz w:val="20"/>
                <w:lang w:eastAsia="en-US"/>
              </w:rPr>
            </w:pPr>
          </w:p>
          <w:p w:rsidR="00C53AC8" w:rsidRDefault="00C24A99">
            <w:pPr>
              <w:spacing w:after="160" w:line="254" w:lineRule="auto"/>
              <w:contextualSpacing/>
              <w:jc w:val="center"/>
              <w:rPr>
                <w:rFonts w:cs="Calibri"/>
                <w:b/>
                <w:sz w:val="20"/>
                <w:lang w:eastAsia="en-US"/>
              </w:rPr>
            </w:pPr>
            <w:r>
              <w:rPr>
                <w:rFonts w:cs="Calibri"/>
                <w:b/>
                <w:sz w:val="20"/>
                <w:lang w:eastAsia="en-US"/>
              </w:rPr>
              <w:t xml:space="preserve">Angemessene Bruttokaltmiete ohne </w:t>
            </w:r>
            <w:r>
              <w:rPr>
                <w:rFonts w:cs="Calibri"/>
                <w:b/>
                <w:sz w:val="20"/>
                <w:lang w:eastAsia="en-US"/>
              </w:rPr>
              <w:t>Heizung</w:t>
            </w:r>
          </w:p>
          <w:p w:rsidR="00C53AC8" w:rsidRDefault="00C24A99">
            <w:pPr>
              <w:spacing w:after="160" w:line="254" w:lineRule="auto"/>
              <w:contextualSpacing/>
              <w:jc w:val="center"/>
              <w:rPr>
                <w:rFonts w:cs="Calibri"/>
                <w:b/>
                <w:sz w:val="20"/>
                <w:lang w:eastAsia="en-US"/>
              </w:rPr>
            </w:pPr>
            <w:r>
              <w:rPr>
                <w:rFonts w:cs="Calibri"/>
                <w:b/>
                <w:sz w:val="20"/>
                <w:lang w:eastAsia="en-US"/>
              </w:rPr>
              <w:t>§ 12 WoGG zzgl. 10 %</w:t>
            </w:r>
          </w:p>
        </w:tc>
      </w:tr>
      <w:tr w:rsidR="00907E85" w:rsidTr="00C76B38">
        <w:trPr>
          <w:trHeight w:val="1259"/>
        </w:trPr>
        <w:tc>
          <w:tcPr>
            <w:tcW w:w="2738" w:type="dxa"/>
            <w:vMerge/>
            <w:tcBorders>
              <w:top w:val="single" w:sz="4" w:space="0" w:color="000000"/>
              <w:left w:val="single" w:sz="4" w:space="0" w:color="000000"/>
              <w:bottom w:val="single" w:sz="4" w:space="0" w:color="000000"/>
              <w:right w:val="single" w:sz="4" w:space="0" w:color="000000"/>
            </w:tcBorders>
            <w:vAlign w:val="center"/>
            <w:hideMark/>
          </w:tcPr>
          <w:p w:rsidR="00C53AC8" w:rsidRDefault="00C53AC8">
            <w:pPr>
              <w:rPr>
                <w:rFonts w:cs="Calibri"/>
                <w:b/>
                <w:sz w:val="20"/>
                <w:lang w:eastAsia="en-US"/>
              </w:rPr>
            </w:pPr>
          </w:p>
        </w:tc>
        <w:tc>
          <w:tcPr>
            <w:tcW w:w="2507" w:type="dxa"/>
            <w:vMerge/>
            <w:tcBorders>
              <w:top w:val="single" w:sz="4" w:space="0" w:color="000000"/>
              <w:left w:val="single" w:sz="4" w:space="0" w:color="000000"/>
              <w:bottom w:val="single" w:sz="4" w:space="0" w:color="000000"/>
              <w:right w:val="single" w:sz="4" w:space="0" w:color="000000"/>
            </w:tcBorders>
            <w:vAlign w:val="center"/>
            <w:hideMark/>
          </w:tcPr>
          <w:p w:rsidR="00C53AC8" w:rsidRDefault="00C53AC8">
            <w:pPr>
              <w:rPr>
                <w:rFonts w:cs="Calibri"/>
                <w:b/>
                <w:sz w:val="20"/>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F2F2F2"/>
          </w:tcPr>
          <w:p w:rsidR="00C53AC8" w:rsidRDefault="00C53AC8">
            <w:pPr>
              <w:spacing w:after="160" w:line="254" w:lineRule="auto"/>
              <w:contextualSpacing/>
              <w:jc w:val="center"/>
              <w:rPr>
                <w:rFonts w:cs="Calibri"/>
                <w:b/>
                <w:sz w:val="20"/>
                <w:lang w:eastAsia="en-US"/>
              </w:rPr>
            </w:pPr>
          </w:p>
          <w:p w:rsidR="00C53AC8" w:rsidRDefault="00C24A99" w:rsidP="00C76B38">
            <w:pPr>
              <w:spacing w:after="160" w:line="254" w:lineRule="auto"/>
              <w:contextualSpacing/>
              <w:jc w:val="center"/>
              <w:rPr>
                <w:rFonts w:cs="Calibri"/>
                <w:b/>
                <w:sz w:val="20"/>
                <w:lang w:eastAsia="en-US"/>
              </w:rPr>
            </w:pPr>
            <w:r>
              <w:rPr>
                <w:rFonts w:cs="Calibri"/>
                <w:b/>
                <w:sz w:val="20"/>
                <w:lang w:eastAsia="en-US"/>
              </w:rPr>
              <w:t xml:space="preserve">Mietstufe I – Landkreis Rottal-Inn </w:t>
            </w:r>
            <w:r>
              <w:rPr>
                <w:rFonts w:cs="Calibri"/>
                <w:b/>
                <w:sz w:val="20"/>
                <w:u w:val="single"/>
                <w:lang w:eastAsia="en-US"/>
              </w:rPr>
              <w:t>außer</w:t>
            </w:r>
            <w:r>
              <w:rPr>
                <w:rFonts w:cs="Calibri"/>
                <w:b/>
                <w:sz w:val="20"/>
                <w:lang w:eastAsia="en-US"/>
              </w:rPr>
              <w:t xml:space="preserve"> Städte Eggenfelden und Pfarrkirchen</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C53AC8" w:rsidRDefault="00C53AC8">
            <w:pPr>
              <w:spacing w:after="160" w:line="254" w:lineRule="auto"/>
              <w:contextualSpacing/>
              <w:jc w:val="center"/>
              <w:rPr>
                <w:rFonts w:cs="Calibri"/>
                <w:b/>
                <w:sz w:val="20"/>
                <w:lang w:eastAsia="en-US"/>
              </w:rPr>
            </w:pPr>
          </w:p>
          <w:p w:rsidR="00C53AC8" w:rsidRDefault="00C24A99">
            <w:pPr>
              <w:spacing w:after="160" w:line="254" w:lineRule="auto"/>
              <w:contextualSpacing/>
              <w:jc w:val="center"/>
              <w:rPr>
                <w:rFonts w:cs="Calibri"/>
                <w:b/>
                <w:sz w:val="20"/>
                <w:lang w:eastAsia="en-US"/>
              </w:rPr>
            </w:pPr>
            <w:r>
              <w:rPr>
                <w:rFonts w:cs="Calibri"/>
                <w:b/>
                <w:sz w:val="20"/>
                <w:lang w:eastAsia="en-US"/>
              </w:rPr>
              <w:t>Mietstufe II – Städte Eggenfelden und Pfarrkirchen</w:t>
            </w:r>
          </w:p>
        </w:tc>
      </w:tr>
      <w:tr w:rsidR="00907E85" w:rsidTr="00C76B38">
        <w:trPr>
          <w:trHeight w:val="245"/>
        </w:trPr>
        <w:tc>
          <w:tcPr>
            <w:tcW w:w="273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1</w:t>
            </w:r>
          </w:p>
        </w:tc>
        <w:tc>
          <w:tcPr>
            <w:tcW w:w="2507"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Bis 50 m²</w:t>
            </w:r>
          </w:p>
        </w:tc>
        <w:tc>
          <w:tcPr>
            <w:tcW w:w="2410"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397</w:t>
            </w:r>
          </w:p>
        </w:tc>
        <w:tc>
          <w:tcPr>
            <w:tcW w:w="226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449</w:t>
            </w:r>
          </w:p>
        </w:tc>
      </w:tr>
      <w:tr w:rsidR="00907E85" w:rsidTr="00C76B38">
        <w:trPr>
          <w:trHeight w:val="245"/>
        </w:trPr>
        <w:tc>
          <w:tcPr>
            <w:tcW w:w="273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2</w:t>
            </w:r>
          </w:p>
        </w:tc>
        <w:tc>
          <w:tcPr>
            <w:tcW w:w="2507"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Bis 65 m²</w:t>
            </w:r>
          </w:p>
        </w:tc>
        <w:tc>
          <w:tcPr>
            <w:tcW w:w="2410"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481</w:t>
            </w:r>
          </w:p>
        </w:tc>
        <w:tc>
          <w:tcPr>
            <w:tcW w:w="226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542</w:t>
            </w:r>
          </w:p>
        </w:tc>
      </w:tr>
      <w:tr w:rsidR="00907E85" w:rsidTr="00C76B38">
        <w:trPr>
          <w:trHeight w:val="245"/>
        </w:trPr>
        <w:tc>
          <w:tcPr>
            <w:tcW w:w="273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3</w:t>
            </w:r>
          </w:p>
        </w:tc>
        <w:tc>
          <w:tcPr>
            <w:tcW w:w="2507"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Bis 75 m²</w:t>
            </w:r>
          </w:p>
        </w:tc>
        <w:tc>
          <w:tcPr>
            <w:tcW w:w="2410"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573</w:t>
            </w:r>
          </w:p>
        </w:tc>
        <w:tc>
          <w:tcPr>
            <w:tcW w:w="226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646</w:t>
            </w:r>
          </w:p>
        </w:tc>
      </w:tr>
      <w:tr w:rsidR="00907E85" w:rsidTr="00C76B38">
        <w:trPr>
          <w:trHeight w:val="245"/>
        </w:trPr>
        <w:tc>
          <w:tcPr>
            <w:tcW w:w="273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4</w:t>
            </w:r>
          </w:p>
        </w:tc>
        <w:tc>
          <w:tcPr>
            <w:tcW w:w="2507"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Bis 90 m²</w:t>
            </w:r>
          </w:p>
        </w:tc>
        <w:tc>
          <w:tcPr>
            <w:tcW w:w="2410"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669</w:t>
            </w:r>
          </w:p>
        </w:tc>
        <w:tc>
          <w:tcPr>
            <w:tcW w:w="226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755</w:t>
            </w:r>
          </w:p>
        </w:tc>
      </w:tr>
      <w:tr w:rsidR="00907E85" w:rsidTr="00C76B38">
        <w:trPr>
          <w:trHeight w:val="245"/>
        </w:trPr>
        <w:tc>
          <w:tcPr>
            <w:tcW w:w="273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5</w:t>
            </w:r>
          </w:p>
        </w:tc>
        <w:tc>
          <w:tcPr>
            <w:tcW w:w="2507"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Bis 105</w:t>
            </w:r>
            <w:r>
              <w:rPr>
                <w:rFonts w:cs="Calibri"/>
                <w:b/>
                <w:sz w:val="20"/>
                <w:lang w:eastAsia="en-US"/>
              </w:rPr>
              <w:t xml:space="preserve"> m²</w:t>
            </w:r>
          </w:p>
        </w:tc>
        <w:tc>
          <w:tcPr>
            <w:tcW w:w="2410"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763</w:t>
            </w:r>
          </w:p>
        </w:tc>
        <w:tc>
          <w:tcPr>
            <w:tcW w:w="2268" w:type="dxa"/>
            <w:tcBorders>
              <w:top w:val="single" w:sz="4" w:space="0" w:color="000000"/>
              <w:left w:val="single" w:sz="4" w:space="0" w:color="000000"/>
              <w:bottom w:val="single" w:sz="4" w:space="0" w:color="000000"/>
              <w:right w:val="single" w:sz="4" w:space="0" w:color="000000"/>
            </w:tcBorders>
            <w:hideMark/>
          </w:tcPr>
          <w:p w:rsidR="00C53AC8" w:rsidRDefault="00C24A99">
            <w:pPr>
              <w:spacing w:after="160" w:line="254" w:lineRule="auto"/>
              <w:contextualSpacing/>
              <w:jc w:val="center"/>
              <w:rPr>
                <w:rFonts w:cs="Calibri"/>
                <w:b/>
                <w:sz w:val="20"/>
                <w:lang w:eastAsia="en-US"/>
              </w:rPr>
            </w:pPr>
            <w:r>
              <w:rPr>
                <w:rFonts w:cs="Calibri"/>
                <w:b/>
                <w:sz w:val="20"/>
                <w:lang w:eastAsia="en-US"/>
              </w:rPr>
              <w:t>860</w:t>
            </w:r>
          </w:p>
        </w:tc>
      </w:tr>
      <w:tr w:rsidR="00907E85" w:rsidTr="00C76B38">
        <w:trPr>
          <w:trHeight w:val="276"/>
        </w:trPr>
        <w:tc>
          <w:tcPr>
            <w:tcW w:w="2738" w:type="dxa"/>
            <w:tcBorders>
              <w:top w:val="single" w:sz="4" w:space="0" w:color="000000"/>
              <w:left w:val="single" w:sz="4" w:space="0" w:color="000000"/>
              <w:bottom w:val="single" w:sz="4" w:space="0" w:color="000000"/>
              <w:right w:val="single" w:sz="4" w:space="0" w:color="000000"/>
            </w:tcBorders>
          </w:tcPr>
          <w:p w:rsidR="00C53AC8" w:rsidRDefault="00C24A99" w:rsidP="00C76B38">
            <w:pPr>
              <w:spacing w:after="160" w:line="254" w:lineRule="auto"/>
              <w:contextualSpacing/>
              <w:jc w:val="center"/>
              <w:rPr>
                <w:rFonts w:cs="Calibri"/>
                <w:b/>
                <w:sz w:val="20"/>
                <w:lang w:eastAsia="en-US"/>
              </w:rPr>
            </w:pPr>
            <w:r>
              <w:rPr>
                <w:rFonts w:cs="Calibri"/>
                <w:b/>
                <w:sz w:val="20"/>
                <w:lang w:eastAsia="en-US"/>
              </w:rPr>
              <w:t>jede weitere Person</w:t>
            </w:r>
          </w:p>
        </w:tc>
        <w:tc>
          <w:tcPr>
            <w:tcW w:w="2507" w:type="dxa"/>
            <w:tcBorders>
              <w:top w:val="single" w:sz="4" w:space="0" w:color="000000"/>
              <w:left w:val="single" w:sz="4" w:space="0" w:color="000000"/>
              <w:bottom w:val="single" w:sz="4" w:space="0" w:color="000000"/>
              <w:right w:val="single" w:sz="4" w:space="0" w:color="000000"/>
            </w:tcBorders>
          </w:tcPr>
          <w:p w:rsidR="00C53AC8" w:rsidRDefault="00C24A99" w:rsidP="00C76B38">
            <w:pPr>
              <w:spacing w:after="160" w:line="254" w:lineRule="auto"/>
              <w:contextualSpacing/>
              <w:jc w:val="center"/>
              <w:rPr>
                <w:rFonts w:cs="Calibri"/>
                <w:b/>
                <w:sz w:val="20"/>
                <w:lang w:eastAsia="en-US"/>
              </w:rPr>
            </w:pPr>
            <w:r>
              <w:rPr>
                <w:rFonts w:cs="Calibri"/>
                <w:b/>
                <w:sz w:val="20"/>
                <w:lang w:eastAsia="en-US"/>
              </w:rPr>
              <w:t>je 15 m²</w:t>
            </w:r>
          </w:p>
        </w:tc>
        <w:tc>
          <w:tcPr>
            <w:tcW w:w="2410" w:type="dxa"/>
            <w:tcBorders>
              <w:top w:val="single" w:sz="4" w:space="0" w:color="000000"/>
              <w:left w:val="single" w:sz="4" w:space="0" w:color="000000"/>
              <w:bottom w:val="single" w:sz="4" w:space="0" w:color="000000"/>
              <w:right w:val="single" w:sz="4" w:space="0" w:color="000000"/>
            </w:tcBorders>
          </w:tcPr>
          <w:p w:rsidR="00C53AC8" w:rsidRDefault="00C24A99" w:rsidP="00C76B38">
            <w:pPr>
              <w:spacing w:after="160" w:line="254" w:lineRule="auto"/>
              <w:contextualSpacing/>
              <w:jc w:val="center"/>
              <w:rPr>
                <w:rFonts w:cs="Calibri"/>
                <w:b/>
                <w:sz w:val="20"/>
                <w:lang w:eastAsia="en-US"/>
              </w:rPr>
            </w:pPr>
            <w:r>
              <w:rPr>
                <w:rFonts w:cs="Calibri"/>
                <w:b/>
                <w:sz w:val="20"/>
                <w:lang w:eastAsia="en-US"/>
              </w:rPr>
              <w:t>+ 90</w:t>
            </w:r>
          </w:p>
        </w:tc>
        <w:tc>
          <w:tcPr>
            <w:tcW w:w="2268" w:type="dxa"/>
            <w:tcBorders>
              <w:top w:val="single" w:sz="4" w:space="0" w:color="000000"/>
              <w:left w:val="single" w:sz="4" w:space="0" w:color="000000"/>
              <w:bottom w:val="single" w:sz="4" w:space="0" w:color="000000"/>
              <w:right w:val="single" w:sz="4" w:space="0" w:color="000000"/>
            </w:tcBorders>
          </w:tcPr>
          <w:p w:rsidR="00C53AC8" w:rsidRDefault="00C24A99" w:rsidP="00C76B38">
            <w:pPr>
              <w:spacing w:after="160" w:line="254" w:lineRule="auto"/>
              <w:contextualSpacing/>
              <w:jc w:val="center"/>
              <w:rPr>
                <w:rFonts w:cs="Calibri"/>
                <w:b/>
                <w:sz w:val="20"/>
                <w:lang w:eastAsia="en-US"/>
              </w:rPr>
            </w:pPr>
            <w:r>
              <w:rPr>
                <w:rFonts w:cs="Calibri"/>
                <w:b/>
                <w:sz w:val="20"/>
                <w:lang w:eastAsia="en-US"/>
              </w:rPr>
              <w:t>+ 103</w:t>
            </w:r>
          </w:p>
        </w:tc>
      </w:tr>
    </w:tbl>
    <w:p w:rsidR="00C53AC8" w:rsidRDefault="00C53AC8" w:rsidP="00C53AC8">
      <w:pPr>
        <w:pStyle w:val="Listenabsatz"/>
        <w:ind w:left="0"/>
        <w:rPr>
          <w:rFonts w:cstheme="minorBidi"/>
          <w:i/>
          <w:sz w:val="16"/>
          <w:szCs w:val="16"/>
        </w:rPr>
      </w:pPr>
    </w:p>
    <w:p w:rsidR="00C53AC8" w:rsidRPr="007A7010" w:rsidRDefault="00C24A99" w:rsidP="00C53AC8">
      <w:pPr>
        <w:jc w:val="both"/>
        <w:rPr>
          <w:rFonts w:cs="Arial"/>
          <w:sz w:val="22"/>
          <w:szCs w:val="22"/>
        </w:rPr>
      </w:pPr>
      <w:r w:rsidRPr="007A7010">
        <w:rPr>
          <w:sz w:val="22"/>
          <w:szCs w:val="22"/>
        </w:rPr>
        <w:t>In begründeten Einzelfällen ist als Maßstab für eine angemessen</w:t>
      </w:r>
      <w:r w:rsidR="007A7010">
        <w:rPr>
          <w:sz w:val="22"/>
          <w:szCs w:val="22"/>
        </w:rPr>
        <w:t>e</w:t>
      </w:r>
      <w:r w:rsidRPr="007A7010">
        <w:rPr>
          <w:sz w:val="22"/>
          <w:szCs w:val="22"/>
        </w:rPr>
        <w:t xml:space="preserve"> Miete von der jeweils nächst höheren Personenzahl auszugehen.</w:t>
      </w:r>
    </w:p>
    <w:p w:rsidR="00C53AC8" w:rsidRPr="007A7010" w:rsidRDefault="00C24A99" w:rsidP="00C53AC8">
      <w:pPr>
        <w:jc w:val="both"/>
        <w:rPr>
          <w:rFonts w:cs="Arial"/>
          <w:sz w:val="22"/>
          <w:szCs w:val="22"/>
        </w:rPr>
      </w:pPr>
      <w:r w:rsidRPr="007A7010">
        <w:rPr>
          <w:rFonts w:cs="Arial"/>
          <w:sz w:val="22"/>
          <w:szCs w:val="22"/>
        </w:rPr>
        <w:t xml:space="preserve">Daneben werden </w:t>
      </w:r>
      <w:r w:rsidRPr="007A7010">
        <w:rPr>
          <w:rFonts w:cs="Arial"/>
          <w:noProof/>
          <w:sz w:val="22"/>
          <w:szCs w:val="22"/>
        </w:rPr>
        <w:t xml:space="preserve">Leistungen für die Heizung in Höhe der tatsächlichen </w:t>
      </w:r>
      <w:r w:rsidRPr="007A7010">
        <w:rPr>
          <w:rFonts w:cs="Arial"/>
          <w:noProof/>
          <w:sz w:val="22"/>
          <w:szCs w:val="22"/>
        </w:rPr>
        <w:t>Aufwendungen er-bracht, soweit diese angemessen sind.</w:t>
      </w:r>
      <w:r w:rsidRPr="007A7010">
        <w:rPr>
          <w:rFonts w:cs="Arial"/>
          <w:sz w:val="22"/>
          <w:szCs w:val="22"/>
        </w:rPr>
        <w:t xml:space="preserve"> Insbesondere weisen wir ausdrücklich darauf hin, dass sich die </w:t>
      </w:r>
      <w:r w:rsidRPr="007A7010">
        <w:rPr>
          <w:rFonts w:cs="Arial"/>
          <w:b/>
          <w:sz w:val="22"/>
          <w:szCs w:val="22"/>
        </w:rPr>
        <w:t>Angemessenheit aus der Wohnfläche und der Höhe der Aufwendungen ergibt</w:t>
      </w:r>
      <w:r w:rsidRPr="007A7010">
        <w:rPr>
          <w:rFonts w:cs="Arial"/>
          <w:sz w:val="22"/>
          <w:szCs w:val="22"/>
        </w:rPr>
        <w:t>, d.</w:t>
      </w:r>
      <w:r w:rsidR="00FA29A4">
        <w:rPr>
          <w:rFonts w:cs="Arial"/>
          <w:sz w:val="22"/>
          <w:szCs w:val="22"/>
        </w:rPr>
        <w:t xml:space="preserve"> </w:t>
      </w:r>
      <w:r w:rsidRPr="007A7010">
        <w:rPr>
          <w:rFonts w:cs="Arial"/>
          <w:sz w:val="22"/>
          <w:szCs w:val="22"/>
        </w:rPr>
        <w:t xml:space="preserve">h. dass sich auch angesichts einer entsprechenden Kaltmiete die </w:t>
      </w:r>
      <w:r w:rsidRPr="007A7010">
        <w:rPr>
          <w:rFonts w:cs="Arial"/>
          <w:sz w:val="22"/>
          <w:szCs w:val="22"/>
        </w:rPr>
        <w:t xml:space="preserve">Unangemessenheit der Unterkunft aufgrund der Fläche ergeben kann. Dies kann insbesondere bei den Heizkosten zu Einschränkungen bei der Kostenübernahme führen. </w:t>
      </w:r>
    </w:p>
    <w:p w:rsidR="00C53AC8" w:rsidRPr="007A7010" w:rsidRDefault="00C53AC8" w:rsidP="00C53AC8">
      <w:pPr>
        <w:jc w:val="both"/>
        <w:rPr>
          <w:rFonts w:cs="Arial"/>
          <w:noProof/>
          <w:sz w:val="22"/>
          <w:szCs w:val="22"/>
        </w:rPr>
      </w:pPr>
    </w:p>
    <w:p w:rsidR="00C53AC8" w:rsidRPr="007A7010" w:rsidRDefault="00C24A99" w:rsidP="00C53AC8">
      <w:pPr>
        <w:jc w:val="both"/>
        <w:rPr>
          <w:rFonts w:cs="Arial"/>
          <w:sz w:val="22"/>
          <w:szCs w:val="22"/>
        </w:rPr>
      </w:pPr>
      <w:r w:rsidRPr="007A7010">
        <w:rPr>
          <w:rFonts w:cs="Arial"/>
          <w:b/>
          <w:sz w:val="22"/>
          <w:szCs w:val="22"/>
          <w:u w:val="single"/>
        </w:rPr>
        <w:t>Vor Abschluss eines Vertrages</w:t>
      </w:r>
      <w:r w:rsidRPr="007A7010">
        <w:rPr>
          <w:rFonts w:cs="Arial"/>
          <w:sz w:val="22"/>
          <w:szCs w:val="22"/>
        </w:rPr>
        <w:t xml:space="preserve"> über eine neue Unterkunft sollen Sie unsere Zusicherung zu den Au</w:t>
      </w:r>
      <w:r w:rsidRPr="007A7010">
        <w:rPr>
          <w:rFonts w:cs="Arial"/>
          <w:sz w:val="22"/>
          <w:szCs w:val="22"/>
        </w:rPr>
        <w:t>fwendungen für die neue Unterkunft einholen. Wir sind zur Zusicherung nur verpflichtet, wenn der Umzug notwendig ist und die Aufwendungen für die Unterkunft angemessen sind (§ 35a Abs. 2 SGB XII).</w:t>
      </w:r>
    </w:p>
    <w:p w:rsidR="00C53AC8" w:rsidRPr="007A7010" w:rsidRDefault="00C24A99" w:rsidP="00C53AC8">
      <w:pPr>
        <w:jc w:val="both"/>
        <w:rPr>
          <w:sz w:val="22"/>
          <w:szCs w:val="22"/>
        </w:rPr>
      </w:pPr>
      <w:r w:rsidRPr="007A7010">
        <w:rPr>
          <w:sz w:val="22"/>
          <w:szCs w:val="22"/>
        </w:rPr>
        <w:t>Überdies ist die vorherige Zusicherung nach § 35a Abs. 2 Sa</w:t>
      </w:r>
      <w:r w:rsidRPr="007A7010">
        <w:rPr>
          <w:sz w:val="22"/>
          <w:szCs w:val="22"/>
        </w:rPr>
        <w:t xml:space="preserve">tz 5 SGB XII Voraussetzung für eine mögliche Übernahme der Wohnungsbeschaffungskosten, Mietkaution und Umzugskosten, die bei Bedarf rechtzeitig unter Vorlage des </w:t>
      </w:r>
      <w:r w:rsidRPr="007A7010">
        <w:rPr>
          <w:sz w:val="22"/>
          <w:szCs w:val="22"/>
          <w:u w:val="single"/>
        </w:rPr>
        <w:t>nicht</w:t>
      </w:r>
      <w:r w:rsidRPr="007A7010">
        <w:rPr>
          <w:sz w:val="22"/>
          <w:szCs w:val="22"/>
        </w:rPr>
        <w:t xml:space="preserve"> unterschriebenen Mietvertrages zu beantragen sind. </w:t>
      </w:r>
    </w:p>
    <w:p w:rsidR="00C53AC8" w:rsidRPr="007A7010" w:rsidRDefault="00C53AC8" w:rsidP="00C53AC8">
      <w:pPr>
        <w:jc w:val="both"/>
        <w:rPr>
          <w:sz w:val="22"/>
          <w:szCs w:val="22"/>
        </w:rPr>
      </w:pPr>
    </w:p>
    <w:p w:rsidR="00C53AC8" w:rsidRPr="007A7010" w:rsidRDefault="00C24A99" w:rsidP="00C53AC8">
      <w:pPr>
        <w:pBdr>
          <w:top w:val="single" w:sz="12" w:space="1" w:color="auto"/>
          <w:left w:val="single" w:sz="12" w:space="4" w:color="auto"/>
          <w:bottom w:val="single" w:sz="12" w:space="1" w:color="auto"/>
          <w:right w:val="single" w:sz="12" w:space="4" w:color="auto"/>
        </w:pBdr>
        <w:jc w:val="both"/>
        <w:rPr>
          <w:sz w:val="22"/>
          <w:szCs w:val="22"/>
        </w:rPr>
      </w:pPr>
      <w:r w:rsidRPr="007A7010">
        <w:rPr>
          <w:b/>
          <w:sz w:val="22"/>
          <w:szCs w:val="22"/>
          <w:u w:val="single"/>
        </w:rPr>
        <w:t>Hinweis</w:t>
      </w:r>
      <w:r w:rsidRPr="007A7010">
        <w:rPr>
          <w:sz w:val="22"/>
          <w:szCs w:val="22"/>
        </w:rPr>
        <w:t>:</w:t>
      </w:r>
    </w:p>
    <w:p w:rsidR="00C53AC8" w:rsidRPr="007A7010" w:rsidRDefault="00C24A99" w:rsidP="00C53AC8">
      <w:pPr>
        <w:pBdr>
          <w:top w:val="single" w:sz="12" w:space="1" w:color="auto"/>
          <w:left w:val="single" w:sz="12" w:space="4" w:color="auto"/>
          <w:bottom w:val="single" w:sz="12" w:space="1" w:color="auto"/>
          <w:right w:val="single" w:sz="12" w:space="4" w:color="auto"/>
        </w:pBdr>
        <w:spacing w:after="240"/>
        <w:jc w:val="both"/>
        <w:rPr>
          <w:sz w:val="22"/>
          <w:szCs w:val="22"/>
        </w:rPr>
      </w:pPr>
      <w:r w:rsidRPr="007A7010">
        <w:rPr>
          <w:sz w:val="22"/>
          <w:szCs w:val="22"/>
        </w:rPr>
        <w:t xml:space="preserve">Um die Angemessenheit der </w:t>
      </w:r>
      <w:r w:rsidRPr="007A7010">
        <w:rPr>
          <w:sz w:val="22"/>
          <w:szCs w:val="22"/>
        </w:rPr>
        <w:t xml:space="preserve">Aufwendungen der neuen Unterkunft und die Möglichkeit zur Erteilung der Zusicherung zum Umzug prüfen zu können, lassen Sie bitte die </w:t>
      </w:r>
      <w:r w:rsidRPr="007A7010">
        <w:rPr>
          <w:sz w:val="22"/>
          <w:szCs w:val="22"/>
          <w:u w:val="single"/>
        </w:rPr>
        <w:t>angefügte Mietbescheinigung</w:t>
      </w:r>
      <w:r w:rsidRPr="007A7010">
        <w:rPr>
          <w:sz w:val="22"/>
          <w:szCs w:val="22"/>
        </w:rPr>
        <w:t xml:space="preserve"> von Ihrem neuen Vermieter ausfüllen und reichen diese ein. </w:t>
      </w:r>
    </w:p>
    <w:p w:rsidR="00C53AC8" w:rsidRPr="007A7010" w:rsidRDefault="00C24A99" w:rsidP="00C53AC8">
      <w:pPr>
        <w:pBdr>
          <w:top w:val="single" w:sz="12" w:space="1" w:color="auto"/>
          <w:left w:val="single" w:sz="12" w:space="4" w:color="auto"/>
          <w:bottom w:val="single" w:sz="12" w:space="1" w:color="auto"/>
          <w:right w:val="single" w:sz="12" w:space="4" w:color="auto"/>
        </w:pBdr>
        <w:jc w:val="both"/>
        <w:rPr>
          <w:sz w:val="22"/>
          <w:szCs w:val="22"/>
        </w:rPr>
      </w:pPr>
      <w:r w:rsidRPr="007A7010">
        <w:rPr>
          <w:sz w:val="22"/>
          <w:szCs w:val="22"/>
        </w:rPr>
        <w:t>Alternativ können Sie auch die in d</w:t>
      </w:r>
      <w:r w:rsidRPr="007A7010">
        <w:rPr>
          <w:sz w:val="22"/>
          <w:szCs w:val="22"/>
        </w:rPr>
        <w:t xml:space="preserve">er Mietbescheinigung angegebene Daten auf andere Weise einreichen, z.B. durch Vorlage des ununterschriebenen Mietvertrages mit Ergänzung der darin nicht enthaltenen Angaben aus der Mietbescheinigung.  </w:t>
      </w:r>
    </w:p>
    <w:p w:rsidR="00C53AC8" w:rsidRPr="007A7010" w:rsidRDefault="00C53AC8" w:rsidP="00C53AC8">
      <w:pPr>
        <w:jc w:val="both"/>
        <w:rPr>
          <w:sz w:val="22"/>
          <w:szCs w:val="22"/>
        </w:rPr>
      </w:pPr>
    </w:p>
    <w:p w:rsidR="00C53AC8" w:rsidRPr="007A7010" w:rsidRDefault="00C24A99" w:rsidP="00C53AC8">
      <w:pPr>
        <w:jc w:val="both"/>
        <w:rPr>
          <w:sz w:val="22"/>
          <w:szCs w:val="22"/>
        </w:rPr>
      </w:pPr>
      <w:r w:rsidRPr="007A7010">
        <w:rPr>
          <w:sz w:val="22"/>
          <w:szCs w:val="22"/>
          <w:u w:val="single"/>
        </w:rPr>
        <w:t>Bei einem Umzug außerhalb des Landkreises Rottal-Inn</w:t>
      </w:r>
      <w:r w:rsidRPr="007A7010">
        <w:rPr>
          <w:sz w:val="22"/>
          <w:szCs w:val="22"/>
        </w:rPr>
        <w:t xml:space="preserve"> </w:t>
      </w:r>
      <w:r w:rsidRPr="007A7010">
        <w:rPr>
          <w:sz w:val="22"/>
          <w:szCs w:val="22"/>
        </w:rPr>
        <w:t>ist vor Abschluss des Mietvertrages, zusätzlich mit dem dann zuständigen Träger wegen der Angemessenheit der Miete, Verbindung aufzunehmen, wenn weiterhin Leistungen nach dem SGB XII in Anspruch genommen werden.</w:t>
      </w:r>
    </w:p>
    <w:p w:rsidR="00C53AC8" w:rsidRPr="007A7010" w:rsidRDefault="00C24A99" w:rsidP="00C53AC8">
      <w:pPr>
        <w:jc w:val="both"/>
        <w:rPr>
          <w:rFonts w:cs="Arial"/>
          <w:sz w:val="22"/>
          <w:szCs w:val="22"/>
        </w:rPr>
      </w:pPr>
      <w:r w:rsidRPr="007A7010">
        <w:rPr>
          <w:sz w:val="22"/>
          <w:szCs w:val="22"/>
        </w:rPr>
        <w:t xml:space="preserve">Beachten Sie bitte auch, dass etwa über die </w:t>
      </w:r>
      <w:r w:rsidRPr="007A7010">
        <w:rPr>
          <w:sz w:val="22"/>
          <w:szCs w:val="22"/>
        </w:rPr>
        <w:t>Mietkaution der künftig zuständige Träger bereits entscheidet. Informieren Sie Sich deshalb bitte frühzeitig!</w:t>
      </w:r>
    </w:p>
    <w:p w:rsidR="00C53AC8" w:rsidRPr="007A7010" w:rsidRDefault="00C53AC8" w:rsidP="00C53AC8">
      <w:pPr>
        <w:jc w:val="both"/>
        <w:rPr>
          <w:rFonts w:cs="Arial"/>
          <w:sz w:val="22"/>
          <w:szCs w:val="22"/>
        </w:rPr>
      </w:pPr>
    </w:p>
    <w:p w:rsidR="00C53AC8" w:rsidRPr="007A7010" w:rsidRDefault="00C24A99" w:rsidP="00C53AC8">
      <w:pPr>
        <w:jc w:val="both"/>
        <w:rPr>
          <w:rFonts w:cs="Arial"/>
          <w:sz w:val="22"/>
          <w:szCs w:val="22"/>
        </w:rPr>
      </w:pPr>
      <w:r w:rsidRPr="007A7010">
        <w:rPr>
          <w:rFonts w:cs="Arial"/>
          <w:sz w:val="22"/>
          <w:szCs w:val="22"/>
        </w:rPr>
        <w:t xml:space="preserve">Melden Sie bitte unbedingt ihren Umzug – mit Blick auf Adressänderung sowie geänderte Miethöhe – rechtzeitig im Landratsamt Rottal-Inn – Soziale </w:t>
      </w:r>
      <w:r w:rsidRPr="007A7010">
        <w:rPr>
          <w:rFonts w:cs="Arial"/>
          <w:sz w:val="22"/>
          <w:szCs w:val="22"/>
        </w:rPr>
        <w:t xml:space="preserve">Angelegenheiten. Ein Verstoß gegen diese allgemeine Mitwirkungspflicht kann bei nicht rechtzeitiger Mitteilung zur Rückforderung von zu Unrecht erbrachten Leistungen führen. </w:t>
      </w:r>
    </w:p>
    <w:p w:rsidR="00C53AC8" w:rsidRPr="007A7010" w:rsidRDefault="00C53AC8" w:rsidP="00C53AC8">
      <w:pPr>
        <w:rPr>
          <w:rFonts w:cs="Arial"/>
          <w:sz w:val="22"/>
          <w:szCs w:val="22"/>
        </w:rPr>
      </w:pPr>
    </w:p>
    <w:p w:rsidR="00C53AC8" w:rsidRPr="007A7010" w:rsidRDefault="00C53AC8" w:rsidP="00C53AC8">
      <w:pPr>
        <w:rPr>
          <w:rFonts w:cs="Arial"/>
          <w:sz w:val="22"/>
          <w:szCs w:val="22"/>
        </w:rPr>
      </w:pPr>
    </w:p>
    <w:p w:rsidR="00C53AC8" w:rsidRPr="007A7010" w:rsidRDefault="00C53AC8" w:rsidP="00C53AC8">
      <w:pPr>
        <w:rPr>
          <w:rFonts w:cs="Arial"/>
          <w:sz w:val="22"/>
          <w:szCs w:val="22"/>
        </w:rPr>
      </w:pPr>
    </w:p>
    <w:p w:rsidR="00C53AC8" w:rsidRPr="007A7010" w:rsidRDefault="00C24A99" w:rsidP="00C53AC8">
      <w:pPr>
        <w:rPr>
          <w:sz w:val="22"/>
          <w:szCs w:val="22"/>
        </w:rPr>
      </w:pPr>
      <w:r w:rsidRPr="007A7010">
        <w:rPr>
          <w:sz w:val="22"/>
          <w:szCs w:val="22"/>
        </w:rPr>
        <w:t>Mit freundlichen Grüßen</w:t>
      </w:r>
    </w:p>
    <w:p w:rsidR="00C53AC8" w:rsidRPr="007A7010" w:rsidRDefault="00C53AC8" w:rsidP="00C53AC8">
      <w:pPr>
        <w:rPr>
          <w:sz w:val="22"/>
          <w:szCs w:val="22"/>
        </w:rPr>
      </w:pPr>
    </w:p>
    <w:p w:rsidR="00C53AC8" w:rsidRPr="007A7010" w:rsidRDefault="00C53AC8" w:rsidP="00C53AC8">
      <w:pPr>
        <w:rPr>
          <w:sz w:val="22"/>
          <w:szCs w:val="22"/>
        </w:rPr>
      </w:pPr>
    </w:p>
    <w:p w:rsidR="00C53AC8" w:rsidRPr="007A7010" w:rsidRDefault="00C24A99" w:rsidP="00C53AC8">
      <w:pPr>
        <w:rPr>
          <w:i/>
          <w:sz w:val="22"/>
          <w:szCs w:val="22"/>
        </w:rPr>
      </w:pPr>
      <w:r w:rsidRPr="007A7010">
        <w:rPr>
          <w:i/>
          <w:sz w:val="22"/>
          <w:szCs w:val="22"/>
        </w:rPr>
        <w:t xml:space="preserve">Ihr Sozialamt </w:t>
      </w:r>
    </w:p>
    <w:p w:rsidR="00C53AC8" w:rsidRDefault="00C53AC8" w:rsidP="00C53AC8">
      <w:pPr>
        <w:rPr>
          <w:i/>
        </w:rPr>
      </w:pPr>
    </w:p>
    <w:p w:rsidR="00C53AC8" w:rsidRDefault="00C53AC8" w:rsidP="00C53AC8">
      <w:pPr>
        <w:rPr>
          <w:i/>
        </w:rPr>
      </w:pPr>
    </w:p>
    <w:p w:rsidR="00C53AC8" w:rsidRDefault="00C24A99" w:rsidP="00C53AC8">
      <w:pPr>
        <w:rPr>
          <w:sz w:val="22"/>
          <w:szCs w:val="22"/>
        </w:rPr>
      </w:pPr>
      <w:r w:rsidRPr="007A7010">
        <w:rPr>
          <w:sz w:val="22"/>
          <w:szCs w:val="22"/>
        </w:rPr>
        <w:t>Anlage: 1 Mietbescheinigung</w:t>
      </w:r>
    </w:p>
    <w:p w:rsidR="007A7010" w:rsidRDefault="007A7010" w:rsidP="00C53AC8">
      <w:pPr>
        <w:rPr>
          <w:sz w:val="22"/>
          <w:szCs w:val="22"/>
        </w:rPr>
      </w:pPr>
    </w:p>
    <w:p w:rsidR="007A7010" w:rsidRDefault="007A7010" w:rsidP="00C53AC8">
      <w:pPr>
        <w:rPr>
          <w:sz w:val="22"/>
          <w:szCs w:val="22"/>
        </w:rPr>
      </w:pPr>
    </w:p>
    <w:p w:rsidR="007A7010" w:rsidRDefault="007A7010" w:rsidP="00C53AC8">
      <w:pPr>
        <w:rPr>
          <w:sz w:val="22"/>
          <w:szCs w:val="22"/>
        </w:rPr>
      </w:pPr>
    </w:p>
    <w:p w:rsidR="007A7010" w:rsidRDefault="007A7010" w:rsidP="00C53AC8">
      <w:pPr>
        <w:rPr>
          <w:sz w:val="22"/>
          <w:szCs w:val="22"/>
        </w:rPr>
      </w:pPr>
    </w:p>
    <w:p w:rsidR="007A7010" w:rsidRDefault="007A7010" w:rsidP="00C53AC8">
      <w:pPr>
        <w:rPr>
          <w:sz w:val="22"/>
          <w:szCs w:val="22"/>
        </w:rPr>
      </w:pPr>
    </w:p>
    <w:p w:rsidR="007A7010" w:rsidRDefault="007A7010" w:rsidP="00C53AC8">
      <w:pPr>
        <w:rPr>
          <w:sz w:val="22"/>
          <w:szCs w:val="22"/>
        </w:rPr>
      </w:pPr>
    </w:p>
    <w:p w:rsidR="007A7010" w:rsidRDefault="007A7010" w:rsidP="00C53AC8">
      <w:pPr>
        <w:rPr>
          <w:sz w:val="22"/>
          <w:szCs w:val="22"/>
        </w:rPr>
      </w:pPr>
    </w:p>
    <w:p w:rsidR="007A7010" w:rsidRDefault="007A7010" w:rsidP="00C53AC8">
      <w:pPr>
        <w:rPr>
          <w:sz w:val="22"/>
          <w:szCs w:val="22"/>
        </w:rPr>
      </w:pPr>
    </w:p>
    <w:p w:rsidR="007A7010" w:rsidRPr="007A7010" w:rsidRDefault="007A7010" w:rsidP="00C53AC8">
      <w:pPr>
        <w:rPr>
          <w:sz w:val="22"/>
          <w:szCs w:val="22"/>
        </w:rPr>
      </w:pPr>
    </w:p>
    <w:p w:rsidR="008417B8" w:rsidRDefault="00C24A99" w:rsidP="00C53AC8">
      <w:r w:rsidRPr="007A7010">
        <w:t xml:space="preserve">Hinweise zum Datenschutz finden Sie unter </w:t>
      </w:r>
      <w:hyperlink r:id="rId10" w:history="1">
        <w:r w:rsidRPr="007A7010">
          <w:rPr>
            <w:rStyle w:val="Hyperlink"/>
          </w:rPr>
          <w:t>www.rottal-inn.de/datenschutz</w:t>
        </w:r>
      </w:hyperlink>
    </w:p>
    <w:sectPr w:rsidR="008417B8" w:rsidSect="00904131">
      <w:headerReference w:type="default" r:id="rId11"/>
      <w:footerReference w:type="default" r:id="rId12"/>
      <w:pgSz w:w="11907" w:h="16840" w:code="9"/>
      <w:pgMar w:top="850" w:right="850" w:bottom="567" w:left="1417"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4A99">
      <w:r>
        <w:separator/>
      </w:r>
    </w:p>
  </w:endnote>
  <w:endnote w:type="continuationSeparator" w:id="0">
    <w:p w:rsidR="00000000" w:rsidRDefault="00C2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55" w:rsidRDefault="00C24A99" w:rsidP="00904131">
    <w:pPr>
      <w:tabs>
        <w:tab w:val="center" w:pos="4678"/>
        <w:tab w:val="left" w:pos="8080"/>
        <w:tab w:val="right" w:pos="9639"/>
      </w:tabs>
      <w:overflowPunct/>
      <w:autoSpaceDE/>
      <w:adjustRightInd/>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sidR="009252D5">
      <w:rPr>
        <w:rFonts w:cs="Arial"/>
        <w:color w:val="808080" w:themeColor="background1" w:themeShade="80"/>
        <w:sz w:val="22"/>
        <w:szCs w:val="22"/>
        <w:lang w:eastAsia="en-US"/>
      </w:rPr>
      <w:t>Umzugsinformationsblatt Stand 01.01.2025</w:t>
    </w:r>
    <w:r>
      <w:rPr>
        <w:rFonts w:cs="Arial"/>
        <w:color w:val="808080" w:themeColor="background1" w:themeShade="80"/>
        <w:sz w:val="22"/>
        <w:szCs w:val="22"/>
        <w:lang w:eastAsia="en-US"/>
      </w:rPr>
      <w:fldChar w:fldCharType="end"/>
    </w:r>
  </w:p>
  <w:p w:rsidR="00460C95" w:rsidRPr="00CD4B1B" w:rsidRDefault="00C24A99" w:rsidP="00904131">
    <w:pPr>
      <w:tabs>
        <w:tab w:val="center" w:pos="4678"/>
        <w:tab w:val="left" w:pos="8080"/>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sidR="00783855">
      <w:rPr>
        <w:rFonts w:cs="Arial"/>
        <w:color w:val="808080" w:themeColor="background1" w:themeShade="80"/>
        <w:sz w:val="22"/>
        <w:szCs w:val="22"/>
        <w:lang w:eastAsia="en-US"/>
      </w:rPr>
      <w:fldChar w:fldCharType="begin"/>
    </w:r>
    <w:r w:rsidR="00783855">
      <w:rPr>
        <w:rFonts w:cs="Arial"/>
        <w:color w:val="808080" w:themeColor="background1" w:themeShade="80"/>
        <w:sz w:val="22"/>
        <w:szCs w:val="22"/>
        <w:lang w:eastAsia="en-US"/>
      </w:rPr>
      <w:instrText xml:space="preserve"> DOCVARIABLE CS.ID.100 \* MERGEFORMAT </w:instrText>
    </w:r>
    <w:r w:rsidR="00783855">
      <w:rPr>
        <w:rFonts w:cs="Arial"/>
        <w:color w:val="808080" w:themeColor="background1" w:themeShade="80"/>
        <w:sz w:val="22"/>
        <w:szCs w:val="22"/>
        <w:lang w:eastAsia="en-US"/>
      </w:rPr>
      <w:fldChar w:fldCharType="separate"/>
    </w:r>
    <w:r w:rsidR="009252D5">
      <w:rPr>
        <w:rFonts w:cs="Arial"/>
        <w:color w:val="808080" w:themeColor="background1" w:themeShade="80"/>
        <w:sz w:val="22"/>
        <w:szCs w:val="22"/>
        <w:lang w:eastAsia="en-US"/>
      </w:rPr>
      <w:t>4</w:t>
    </w:r>
    <w:r w:rsidR="00783855">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4A99">
      <w:r>
        <w:separator/>
      </w:r>
    </w:p>
  </w:footnote>
  <w:footnote w:type="continuationSeparator" w:id="0">
    <w:p w:rsidR="00000000" w:rsidRDefault="00C2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855" w:rsidRDefault="00C24A99" w:rsidP="00291E5E">
    <w:pPr>
      <w:pStyle w:val="Kopfzeile"/>
      <w:jc w:val="right"/>
    </w:pPr>
    <w:r>
      <w:t>Stand 01.01.202</w:t>
    </w:r>
    <w:r w:rsidR="007A7010">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BCA"/>
    <w:multiLevelType w:val="hybridMultilevel"/>
    <w:tmpl w:val="BA84E056"/>
    <w:lvl w:ilvl="0" w:tplc="7070F6FC">
      <w:start w:val="5"/>
      <w:numFmt w:val="bullet"/>
      <w:lvlText w:val="-"/>
      <w:lvlJc w:val="left"/>
      <w:pPr>
        <w:ind w:left="360" w:hanging="360"/>
      </w:pPr>
      <w:rPr>
        <w:rFonts w:ascii="Arial" w:eastAsia="Arial" w:hAnsi="Arial" w:cs="Arial" w:hint="default"/>
      </w:rPr>
    </w:lvl>
    <w:lvl w:ilvl="1" w:tplc="C944DF94">
      <w:start w:val="1"/>
      <w:numFmt w:val="bullet"/>
      <w:lvlText w:val="o"/>
      <w:lvlJc w:val="left"/>
      <w:pPr>
        <w:ind w:left="1080" w:hanging="360"/>
      </w:pPr>
      <w:rPr>
        <w:rFonts w:ascii="Courier New" w:hAnsi="Courier New" w:cs="Courier New" w:hint="default"/>
      </w:rPr>
    </w:lvl>
    <w:lvl w:ilvl="2" w:tplc="CF1AD44A">
      <w:start w:val="1"/>
      <w:numFmt w:val="bullet"/>
      <w:lvlText w:val=""/>
      <w:lvlJc w:val="left"/>
      <w:pPr>
        <w:ind w:left="1800" w:hanging="360"/>
      </w:pPr>
      <w:rPr>
        <w:rFonts w:ascii="Wingdings" w:hAnsi="Wingdings" w:hint="default"/>
      </w:rPr>
    </w:lvl>
    <w:lvl w:ilvl="3" w:tplc="9DB82440">
      <w:start w:val="1"/>
      <w:numFmt w:val="bullet"/>
      <w:lvlText w:val=""/>
      <w:lvlJc w:val="left"/>
      <w:pPr>
        <w:ind w:left="2520" w:hanging="360"/>
      </w:pPr>
      <w:rPr>
        <w:rFonts w:ascii="Symbol" w:hAnsi="Symbol" w:hint="default"/>
      </w:rPr>
    </w:lvl>
    <w:lvl w:ilvl="4" w:tplc="EDA68D6C">
      <w:start w:val="1"/>
      <w:numFmt w:val="bullet"/>
      <w:lvlText w:val="o"/>
      <w:lvlJc w:val="left"/>
      <w:pPr>
        <w:ind w:left="3240" w:hanging="360"/>
      </w:pPr>
      <w:rPr>
        <w:rFonts w:ascii="Courier New" w:hAnsi="Courier New" w:cs="Courier New" w:hint="default"/>
      </w:rPr>
    </w:lvl>
    <w:lvl w:ilvl="5" w:tplc="D0AE1AC0">
      <w:start w:val="1"/>
      <w:numFmt w:val="bullet"/>
      <w:lvlText w:val=""/>
      <w:lvlJc w:val="left"/>
      <w:pPr>
        <w:ind w:left="3960" w:hanging="360"/>
      </w:pPr>
      <w:rPr>
        <w:rFonts w:ascii="Wingdings" w:hAnsi="Wingdings" w:hint="default"/>
      </w:rPr>
    </w:lvl>
    <w:lvl w:ilvl="6" w:tplc="86EEED72">
      <w:start w:val="1"/>
      <w:numFmt w:val="bullet"/>
      <w:lvlText w:val=""/>
      <w:lvlJc w:val="left"/>
      <w:pPr>
        <w:ind w:left="4680" w:hanging="360"/>
      </w:pPr>
      <w:rPr>
        <w:rFonts w:ascii="Symbol" w:hAnsi="Symbol" w:hint="default"/>
      </w:rPr>
    </w:lvl>
    <w:lvl w:ilvl="7" w:tplc="C6F89F82">
      <w:start w:val="1"/>
      <w:numFmt w:val="bullet"/>
      <w:lvlText w:val="o"/>
      <w:lvlJc w:val="left"/>
      <w:pPr>
        <w:ind w:left="5400" w:hanging="360"/>
      </w:pPr>
      <w:rPr>
        <w:rFonts w:ascii="Courier New" w:hAnsi="Courier New" w:cs="Courier New" w:hint="default"/>
      </w:rPr>
    </w:lvl>
    <w:lvl w:ilvl="8" w:tplc="B100FCF8">
      <w:start w:val="1"/>
      <w:numFmt w:val="bullet"/>
      <w:lvlText w:val=""/>
      <w:lvlJc w:val="left"/>
      <w:pPr>
        <w:ind w:left="6120" w:hanging="360"/>
      </w:pPr>
      <w:rPr>
        <w:rFonts w:ascii="Wingdings" w:hAnsi="Wingdings" w:hint="default"/>
      </w:rPr>
    </w:lvl>
  </w:abstractNum>
  <w:abstractNum w:abstractNumId="1" w15:restartNumberingAfterBreak="0">
    <w:nsid w:val="68E0149C"/>
    <w:multiLevelType w:val="hybridMultilevel"/>
    <w:tmpl w:val="96E6A1F8"/>
    <w:lvl w:ilvl="0" w:tplc="AA1803B2">
      <w:start w:val="1"/>
      <w:numFmt w:val="lowerLetter"/>
      <w:lvlText w:val="%1)"/>
      <w:lvlJc w:val="left"/>
      <w:pPr>
        <w:ind w:left="927" w:hanging="360"/>
      </w:pPr>
      <w:rPr>
        <w:rFonts w:hint="default"/>
        <w:color w:val="FF0000"/>
      </w:rPr>
    </w:lvl>
    <w:lvl w:ilvl="1" w:tplc="44584BF0" w:tentative="1">
      <w:start w:val="1"/>
      <w:numFmt w:val="lowerLetter"/>
      <w:lvlText w:val="%2."/>
      <w:lvlJc w:val="left"/>
      <w:pPr>
        <w:ind w:left="1647" w:hanging="360"/>
      </w:pPr>
    </w:lvl>
    <w:lvl w:ilvl="2" w:tplc="93C6ABB6" w:tentative="1">
      <w:start w:val="1"/>
      <w:numFmt w:val="lowerRoman"/>
      <w:lvlText w:val="%3."/>
      <w:lvlJc w:val="right"/>
      <w:pPr>
        <w:ind w:left="2367" w:hanging="180"/>
      </w:pPr>
    </w:lvl>
    <w:lvl w:ilvl="3" w:tplc="E5102F18" w:tentative="1">
      <w:start w:val="1"/>
      <w:numFmt w:val="decimal"/>
      <w:lvlText w:val="%4."/>
      <w:lvlJc w:val="left"/>
      <w:pPr>
        <w:ind w:left="3087" w:hanging="360"/>
      </w:pPr>
    </w:lvl>
    <w:lvl w:ilvl="4" w:tplc="1EECB5BA" w:tentative="1">
      <w:start w:val="1"/>
      <w:numFmt w:val="lowerLetter"/>
      <w:lvlText w:val="%5."/>
      <w:lvlJc w:val="left"/>
      <w:pPr>
        <w:ind w:left="3807" w:hanging="360"/>
      </w:pPr>
    </w:lvl>
    <w:lvl w:ilvl="5" w:tplc="370ADDFC" w:tentative="1">
      <w:start w:val="1"/>
      <w:numFmt w:val="lowerRoman"/>
      <w:lvlText w:val="%6."/>
      <w:lvlJc w:val="right"/>
      <w:pPr>
        <w:ind w:left="4527" w:hanging="180"/>
      </w:pPr>
    </w:lvl>
    <w:lvl w:ilvl="6" w:tplc="9E244B32" w:tentative="1">
      <w:start w:val="1"/>
      <w:numFmt w:val="decimal"/>
      <w:lvlText w:val="%7."/>
      <w:lvlJc w:val="left"/>
      <w:pPr>
        <w:ind w:left="5247" w:hanging="360"/>
      </w:pPr>
    </w:lvl>
    <w:lvl w:ilvl="7" w:tplc="0B94AE86" w:tentative="1">
      <w:start w:val="1"/>
      <w:numFmt w:val="lowerLetter"/>
      <w:lvlText w:val="%8."/>
      <w:lvlJc w:val="left"/>
      <w:pPr>
        <w:ind w:left="5967" w:hanging="360"/>
      </w:pPr>
    </w:lvl>
    <w:lvl w:ilvl="8" w:tplc="DFC8B32E" w:tentative="1">
      <w:start w:val="1"/>
      <w:numFmt w:val="lowerRoman"/>
      <w:lvlText w:val="%9."/>
      <w:lvlJc w:val="right"/>
      <w:pPr>
        <w:ind w:left="6687" w:hanging="180"/>
      </w:pPr>
    </w:lvl>
  </w:abstractNum>
  <w:abstractNum w:abstractNumId="2" w15:restartNumberingAfterBreak="0">
    <w:nsid w:val="73834363"/>
    <w:multiLevelType w:val="hybridMultilevel"/>
    <w:tmpl w:val="47785486"/>
    <w:lvl w:ilvl="0" w:tplc="87985A78">
      <w:numFmt w:val="bullet"/>
      <w:lvlText w:val="-"/>
      <w:lvlJc w:val="left"/>
      <w:pPr>
        <w:ind w:left="720" w:hanging="360"/>
      </w:pPr>
      <w:rPr>
        <w:rFonts w:ascii="Arial" w:eastAsia="Calibri" w:hAnsi="Arial" w:cs="Arial" w:hint="default"/>
      </w:rPr>
    </w:lvl>
    <w:lvl w:ilvl="1" w:tplc="43F6B5C2">
      <w:start w:val="1"/>
      <w:numFmt w:val="bullet"/>
      <w:lvlText w:val="o"/>
      <w:lvlJc w:val="left"/>
      <w:pPr>
        <w:ind w:left="1440" w:hanging="360"/>
      </w:pPr>
      <w:rPr>
        <w:rFonts w:ascii="Courier New" w:hAnsi="Courier New" w:cs="Courier New" w:hint="default"/>
      </w:rPr>
    </w:lvl>
    <w:lvl w:ilvl="2" w:tplc="8C5C4550">
      <w:start w:val="1"/>
      <w:numFmt w:val="bullet"/>
      <w:lvlText w:val=""/>
      <w:lvlJc w:val="left"/>
      <w:pPr>
        <w:ind w:left="2160" w:hanging="360"/>
      </w:pPr>
      <w:rPr>
        <w:rFonts w:ascii="Wingdings" w:hAnsi="Wingdings" w:hint="default"/>
      </w:rPr>
    </w:lvl>
    <w:lvl w:ilvl="3" w:tplc="5CD278CA">
      <w:start w:val="1"/>
      <w:numFmt w:val="bullet"/>
      <w:lvlText w:val=""/>
      <w:lvlJc w:val="left"/>
      <w:pPr>
        <w:ind w:left="2880" w:hanging="360"/>
      </w:pPr>
      <w:rPr>
        <w:rFonts w:ascii="Symbol" w:hAnsi="Symbol" w:hint="default"/>
      </w:rPr>
    </w:lvl>
    <w:lvl w:ilvl="4" w:tplc="733AF1E0">
      <w:start w:val="1"/>
      <w:numFmt w:val="bullet"/>
      <w:lvlText w:val="o"/>
      <w:lvlJc w:val="left"/>
      <w:pPr>
        <w:ind w:left="3600" w:hanging="360"/>
      </w:pPr>
      <w:rPr>
        <w:rFonts w:ascii="Courier New" w:hAnsi="Courier New" w:cs="Courier New" w:hint="default"/>
      </w:rPr>
    </w:lvl>
    <w:lvl w:ilvl="5" w:tplc="DC0A11F6">
      <w:start w:val="1"/>
      <w:numFmt w:val="bullet"/>
      <w:lvlText w:val=""/>
      <w:lvlJc w:val="left"/>
      <w:pPr>
        <w:ind w:left="4320" w:hanging="360"/>
      </w:pPr>
      <w:rPr>
        <w:rFonts w:ascii="Wingdings" w:hAnsi="Wingdings" w:hint="default"/>
      </w:rPr>
    </w:lvl>
    <w:lvl w:ilvl="6" w:tplc="49825BB0">
      <w:start w:val="1"/>
      <w:numFmt w:val="bullet"/>
      <w:lvlText w:val=""/>
      <w:lvlJc w:val="left"/>
      <w:pPr>
        <w:ind w:left="5040" w:hanging="360"/>
      </w:pPr>
      <w:rPr>
        <w:rFonts w:ascii="Symbol" w:hAnsi="Symbol" w:hint="default"/>
      </w:rPr>
    </w:lvl>
    <w:lvl w:ilvl="7" w:tplc="08727046">
      <w:start w:val="1"/>
      <w:numFmt w:val="bullet"/>
      <w:lvlText w:val="o"/>
      <w:lvlJc w:val="left"/>
      <w:pPr>
        <w:ind w:left="5760" w:hanging="360"/>
      </w:pPr>
      <w:rPr>
        <w:rFonts w:ascii="Courier New" w:hAnsi="Courier New" w:cs="Courier New" w:hint="default"/>
      </w:rPr>
    </w:lvl>
    <w:lvl w:ilvl="8" w:tplc="AB009396">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cumentProtection w:edit="forms" w:enforcement="1" w:cryptProviderType="rsaFull" w:cryptAlgorithmClass="hash" w:cryptAlgorithmType="typeAny" w:cryptAlgorithmSid="4" w:cryptSpinCount="50000" w:hash="5RcKMePzXrgFRnWTmabKHxszjOQ="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4"/>
    <w:docVar w:name="CS.ID.12" w:val="Umzugsinformationsblatt Stand 01.01.2025"/>
  </w:docVars>
  <w:rsids>
    <w:rsidRoot w:val="007F057E"/>
    <w:rsid w:val="0006566B"/>
    <w:rsid w:val="00075A48"/>
    <w:rsid w:val="000802CE"/>
    <w:rsid w:val="000C4FFC"/>
    <w:rsid w:val="000E4890"/>
    <w:rsid w:val="0019445F"/>
    <w:rsid w:val="001E19A0"/>
    <w:rsid w:val="00290ED9"/>
    <w:rsid w:val="00291E5E"/>
    <w:rsid w:val="002B3638"/>
    <w:rsid w:val="0033226C"/>
    <w:rsid w:val="003357B8"/>
    <w:rsid w:val="0036775A"/>
    <w:rsid w:val="003E4BD1"/>
    <w:rsid w:val="003F5EC7"/>
    <w:rsid w:val="00422FD7"/>
    <w:rsid w:val="00432A76"/>
    <w:rsid w:val="00460C95"/>
    <w:rsid w:val="00483D45"/>
    <w:rsid w:val="004932F5"/>
    <w:rsid w:val="004F785D"/>
    <w:rsid w:val="00510512"/>
    <w:rsid w:val="00535F28"/>
    <w:rsid w:val="005678A4"/>
    <w:rsid w:val="00571542"/>
    <w:rsid w:val="005D7D92"/>
    <w:rsid w:val="00615436"/>
    <w:rsid w:val="00617332"/>
    <w:rsid w:val="00636C87"/>
    <w:rsid w:val="00641717"/>
    <w:rsid w:val="00674DD4"/>
    <w:rsid w:val="00684CCB"/>
    <w:rsid w:val="00685136"/>
    <w:rsid w:val="00741A80"/>
    <w:rsid w:val="00783855"/>
    <w:rsid w:val="007A7010"/>
    <w:rsid w:val="007E1322"/>
    <w:rsid w:val="007F057E"/>
    <w:rsid w:val="008411DF"/>
    <w:rsid w:val="008417B8"/>
    <w:rsid w:val="00841C45"/>
    <w:rsid w:val="00876EB7"/>
    <w:rsid w:val="008C3CC9"/>
    <w:rsid w:val="008F4A63"/>
    <w:rsid w:val="00904131"/>
    <w:rsid w:val="00907E85"/>
    <w:rsid w:val="0092062F"/>
    <w:rsid w:val="009252D5"/>
    <w:rsid w:val="00927CDA"/>
    <w:rsid w:val="00974F68"/>
    <w:rsid w:val="00994D8A"/>
    <w:rsid w:val="009A0E63"/>
    <w:rsid w:val="009F37F1"/>
    <w:rsid w:val="00A20330"/>
    <w:rsid w:val="00A3453B"/>
    <w:rsid w:val="00A75D96"/>
    <w:rsid w:val="00AC3C9E"/>
    <w:rsid w:val="00AD25C0"/>
    <w:rsid w:val="00AE0894"/>
    <w:rsid w:val="00B00DDD"/>
    <w:rsid w:val="00B16913"/>
    <w:rsid w:val="00B849D7"/>
    <w:rsid w:val="00BB2FD8"/>
    <w:rsid w:val="00BD5C58"/>
    <w:rsid w:val="00BF3C1E"/>
    <w:rsid w:val="00C24A99"/>
    <w:rsid w:val="00C470CE"/>
    <w:rsid w:val="00C53AC8"/>
    <w:rsid w:val="00C76B38"/>
    <w:rsid w:val="00C85FB4"/>
    <w:rsid w:val="00CA10EA"/>
    <w:rsid w:val="00CB0F1F"/>
    <w:rsid w:val="00CD4B1B"/>
    <w:rsid w:val="00D0595D"/>
    <w:rsid w:val="00D5328C"/>
    <w:rsid w:val="00DA6A91"/>
    <w:rsid w:val="00DB1246"/>
    <w:rsid w:val="00E17B1C"/>
    <w:rsid w:val="00ED63ED"/>
    <w:rsid w:val="00EF3880"/>
    <w:rsid w:val="00F0206D"/>
    <w:rsid w:val="00F16117"/>
    <w:rsid w:val="00F56FA6"/>
    <w:rsid w:val="00FA29A4"/>
    <w:rsid w:val="00FB2E7F"/>
    <w:rsid w:val="00FC09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uiPriority w:val="39"/>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table" w:customStyle="1" w:styleId="Tabellenraster12">
    <w:name w:val="Tabellenraster12"/>
    <w:basedOn w:val="NormaleTabelle"/>
    <w:uiPriority w:val="39"/>
    <w:rsid w:val="00C53AC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sid w:val="007A7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947A3-D929-4307-AD07-D76FC721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4928</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2025-02-14T09:29:00Z</dcterms:created>
  <dcterms:modified xsi:type="dcterms:W3CDTF">2025-02-14T09:29:00Z</dcterms:modified>
</cp:coreProperties>
</file>