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43" w:rsidRDefault="00A3787D" w:rsidP="00AA1F43">
      <w:pPr>
        <w:jc w:val="right"/>
        <w:rPr>
          <w:b/>
          <w:color w:val="232323"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80649" name="Grafi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F43" w:rsidRDefault="00A3787D" w:rsidP="00AA1F43">
      <w:pPr>
        <w:ind w:left="426"/>
        <w:jc w:val="right"/>
        <w:rPr>
          <w:b/>
          <w:color w:val="23232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32385</wp:posOffset>
            </wp:positionV>
            <wp:extent cx="548640" cy="713105"/>
            <wp:effectExtent l="0" t="0" r="3810" b="0"/>
            <wp:wrapTight wrapText="bothSides">
              <wp:wrapPolygon edited="0">
                <wp:start x="0" y="0"/>
                <wp:lineTo x="0" y="20773"/>
                <wp:lineTo x="21000" y="20773"/>
                <wp:lineTo x="2100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614004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F43" w:rsidRDefault="00A3787D" w:rsidP="00AA1F43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AA1F43" w:rsidRDefault="00AA1F43" w:rsidP="00AA1F43">
      <w:pPr>
        <w:ind w:left="426"/>
        <w:rPr>
          <w:sz w:val="22"/>
          <w:szCs w:val="22"/>
        </w:rPr>
      </w:pPr>
    </w:p>
    <w:p w:rsidR="00AA1F43" w:rsidRDefault="00AA1F43" w:rsidP="00AA1F43">
      <w:pPr>
        <w:spacing w:before="1"/>
        <w:rPr>
          <w:rFonts w:eastAsiaTheme="minorHAnsi"/>
          <w:sz w:val="22"/>
          <w:szCs w:val="22"/>
        </w:rPr>
      </w:pPr>
    </w:p>
    <w:p w:rsidR="000B5DB0" w:rsidRDefault="000B5DB0" w:rsidP="000B5DB0">
      <w:pPr>
        <w:rPr>
          <w:rFonts w:eastAsiaTheme="minorHAnsi"/>
        </w:rPr>
      </w:pPr>
    </w:p>
    <w:p w:rsidR="000B5DB0" w:rsidRDefault="00A3787D" w:rsidP="000B5D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bCs/>
          <w:sz w:val="6"/>
          <w:szCs w:val="6"/>
        </w:rPr>
      </w:pPr>
      <w:r>
        <w:rPr>
          <w:rFonts w:eastAsiaTheme="minorHAnsi"/>
        </w:rPr>
        <w:tab/>
      </w:r>
    </w:p>
    <w:p w:rsidR="000B5DB0" w:rsidRPr="000B5DB0" w:rsidRDefault="00A3787D" w:rsidP="000B5D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 w:val="6"/>
          <w:szCs w:val="6"/>
        </w:rPr>
        <w:br/>
      </w:r>
      <w:r>
        <w:rPr>
          <w:rFonts w:cs="Arial"/>
          <w:b/>
          <w:bCs/>
        </w:rPr>
        <w:t>Beizubringende Unterlagen für die Erteilung einer Erlaubnis nach</w:t>
      </w:r>
    </w:p>
    <w:p w:rsidR="000B5DB0" w:rsidRDefault="00A3787D" w:rsidP="000B5D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34a GewO oder bei einem Geschäftsführerwechsel bei einer bestehenden juristischen Person, die im Besitz einer Erlaubnis nach § 34a GewO ist</w:t>
      </w:r>
    </w:p>
    <w:p w:rsidR="000B5DB0" w:rsidRDefault="000B5DB0" w:rsidP="000B5DB0">
      <w:pPr>
        <w:rPr>
          <w:rFonts w:cs="Arial"/>
          <w:b/>
          <w:sz w:val="22"/>
          <w:szCs w:val="22"/>
        </w:rPr>
      </w:pPr>
    </w:p>
    <w:p w:rsidR="000B5DB0" w:rsidRDefault="00A3787D" w:rsidP="000B5DB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Für die/den </w:t>
      </w:r>
      <w:r>
        <w:rPr>
          <w:rFonts w:cs="Arial"/>
          <w:b/>
          <w:sz w:val="22"/>
          <w:szCs w:val="22"/>
        </w:rPr>
        <w:t>Gewerbetreibende/n bzw. bei juristischen Personen für jeden Geschäftsführer sind folgende Unterlagen notwendig:</w:t>
      </w:r>
    </w:p>
    <w:p w:rsidR="000B5DB0" w:rsidRDefault="000B5DB0" w:rsidP="000B5DB0">
      <w:pPr>
        <w:rPr>
          <w:rFonts w:cs="Arial"/>
          <w:b/>
          <w:sz w:val="22"/>
          <w:szCs w:val="22"/>
        </w:rPr>
      </w:pPr>
    </w:p>
    <w:p w:rsidR="000B5DB0" w:rsidRDefault="000B5DB0" w:rsidP="000B5DB0">
      <w:pPr>
        <w:rPr>
          <w:rFonts w:cs="Arial"/>
          <w:b/>
          <w:sz w:val="22"/>
          <w:szCs w:val="22"/>
        </w:rPr>
      </w:pPr>
    </w:p>
    <w:p w:rsidR="000B5DB0" w:rsidRPr="000B5DB0" w:rsidRDefault="00A3787D" w:rsidP="000B5DB0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b/>
          <w:bCs/>
        </w:rPr>
        <w:t xml:space="preserve">1. </w:t>
      </w:r>
      <w:r>
        <w:rPr>
          <w:rFonts w:cs="Arial"/>
          <w:b/>
          <w:bCs/>
        </w:rPr>
        <w:tab/>
      </w:r>
      <w:r>
        <w:rPr>
          <w:rFonts w:cs="Arial"/>
          <w:sz w:val="22"/>
          <w:szCs w:val="22"/>
        </w:rPr>
        <w:t xml:space="preserve">Kopie </w:t>
      </w:r>
      <w:r>
        <w:rPr>
          <w:rFonts w:cs="Arial"/>
          <w:b/>
          <w:bCs/>
          <w:sz w:val="22"/>
          <w:szCs w:val="22"/>
        </w:rPr>
        <w:t>Personalausweis</w:t>
      </w:r>
      <w:r>
        <w:rPr>
          <w:rFonts w:cs="Arial"/>
          <w:bCs/>
          <w:sz w:val="22"/>
          <w:szCs w:val="22"/>
        </w:rPr>
        <w:t xml:space="preserve"> (Vorder- und Rückseite) oder Reisepass mit Meldebescheinigung</w:t>
      </w:r>
    </w:p>
    <w:p w:rsidR="000B5DB0" w:rsidRDefault="000B5DB0" w:rsidP="000B5DB0">
      <w:pPr>
        <w:pBdr>
          <w:bottom w:val="single" w:sz="12" w:space="1" w:color="auto"/>
        </w:pBdr>
        <w:rPr>
          <w:rFonts w:cs="Arial"/>
          <w:sz w:val="16"/>
          <w:szCs w:val="16"/>
        </w:rPr>
      </w:pPr>
    </w:p>
    <w:p w:rsidR="000B5DB0" w:rsidRDefault="000B5DB0" w:rsidP="000B5DB0">
      <w:pPr>
        <w:ind w:left="705" w:hanging="705"/>
        <w:rPr>
          <w:rFonts w:cs="Arial"/>
          <w:b/>
          <w:bCs/>
          <w:sz w:val="10"/>
          <w:szCs w:val="10"/>
        </w:rPr>
      </w:pPr>
    </w:p>
    <w:p w:rsidR="000B5DB0" w:rsidRDefault="000B5DB0" w:rsidP="000B5DB0">
      <w:pPr>
        <w:ind w:left="705" w:hanging="705"/>
        <w:rPr>
          <w:rFonts w:cs="Arial"/>
          <w:b/>
          <w:bCs/>
          <w:szCs w:val="24"/>
        </w:rPr>
      </w:pPr>
    </w:p>
    <w:p w:rsidR="000B5DB0" w:rsidRDefault="00A3787D" w:rsidP="000B5DB0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b/>
          <w:bCs/>
        </w:rPr>
        <w:t xml:space="preserve">2. </w:t>
      </w:r>
      <w:r>
        <w:rPr>
          <w:rFonts w:cs="Arial"/>
          <w:b/>
          <w:bCs/>
        </w:rPr>
        <w:tab/>
      </w:r>
      <w:r>
        <w:rPr>
          <w:rFonts w:cs="Arial"/>
          <w:sz w:val="22"/>
          <w:szCs w:val="22"/>
        </w:rPr>
        <w:t xml:space="preserve">Nachweise über die erfolgreich abgelegte </w:t>
      </w:r>
      <w:r>
        <w:rPr>
          <w:rFonts w:cs="Arial"/>
          <w:b/>
          <w:sz w:val="22"/>
          <w:szCs w:val="22"/>
        </w:rPr>
        <w:t>Sachkundeprüfung</w:t>
      </w:r>
      <w:r>
        <w:rPr>
          <w:rFonts w:cs="Arial"/>
          <w:sz w:val="22"/>
          <w:szCs w:val="22"/>
        </w:rPr>
        <w:t xml:space="preserve"> nach § 34a GewO oder anerkennungsfähige andere Nachweise für den/die Antragsteller/in </w:t>
      </w:r>
      <w:r w:rsidR="00B113DB">
        <w:rPr>
          <w:rFonts w:cs="Arial"/>
          <w:sz w:val="22"/>
          <w:szCs w:val="22"/>
        </w:rPr>
        <w:t>(Original oder beglaubigte Kopie)</w:t>
      </w:r>
    </w:p>
    <w:p w:rsidR="00B113DB" w:rsidRDefault="00B113DB" w:rsidP="000B5DB0">
      <w:pPr>
        <w:ind w:left="705" w:hanging="705"/>
        <w:rPr>
          <w:rFonts w:cs="Arial"/>
          <w:sz w:val="22"/>
          <w:szCs w:val="22"/>
        </w:rPr>
      </w:pPr>
    </w:p>
    <w:p w:rsidR="00B113DB" w:rsidRDefault="00A3787D" w:rsidP="00B113DB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Bei juristischen Personen für die gesetzliche Vertretung, soweit sie mit der Durchführung von Bewachungsauf</w:t>
      </w:r>
      <w:r>
        <w:rPr>
          <w:rFonts w:cs="Arial"/>
          <w:sz w:val="22"/>
          <w:szCs w:val="22"/>
        </w:rPr>
        <w:t xml:space="preserve">gaben direkt befasst ist. Ist keine gesetzliche Vertretung mit der Durchführung von Bewachungsaufgaben direkt befasst, muss zumindest eine Betriebsleiterin bzw. ein Betriebsleiter über einen entsprechenden Nachweis verfügen. </w:t>
      </w:r>
    </w:p>
    <w:p w:rsidR="00B113DB" w:rsidRDefault="00B113DB" w:rsidP="00B113DB">
      <w:pPr>
        <w:ind w:left="1410" w:hanging="705"/>
        <w:rPr>
          <w:rFonts w:cs="Arial"/>
          <w:sz w:val="22"/>
          <w:szCs w:val="22"/>
        </w:rPr>
      </w:pPr>
    </w:p>
    <w:p w:rsidR="00B113DB" w:rsidRDefault="00A3787D" w:rsidP="00B113DB">
      <w:pPr>
        <w:ind w:left="1410" w:hanging="70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Bei Personengesellschaften fü</w:t>
      </w:r>
      <w:r>
        <w:rPr>
          <w:rFonts w:cs="Arial"/>
          <w:sz w:val="22"/>
          <w:szCs w:val="22"/>
        </w:rPr>
        <w:t>r jeden geschäftsführungsbefugten Gesellschafter.</w:t>
      </w:r>
    </w:p>
    <w:p w:rsidR="006953BC" w:rsidRPr="006953BC" w:rsidRDefault="006953BC" w:rsidP="00B113DB">
      <w:pPr>
        <w:ind w:left="1410" w:hanging="705"/>
        <w:rPr>
          <w:rFonts w:cs="Arial"/>
          <w:sz w:val="16"/>
          <w:szCs w:val="16"/>
        </w:rPr>
      </w:pPr>
    </w:p>
    <w:p w:rsidR="006953BC" w:rsidRPr="006953BC" w:rsidRDefault="006953BC" w:rsidP="00B113DB">
      <w:pPr>
        <w:pBdr>
          <w:bottom w:val="single" w:sz="12" w:space="1" w:color="auto"/>
        </w:pBdr>
        <w:ind w:left="705" w:hanging="705"/>
        <w:rPr>
          <w:rFonts w:cs="Arial"/>
          <w:b/>
          <w:sz w:val="2"/>
          <w:szCs w:val="2"/>
        </w:rPr>
      </w:pPr>
    </w:p>
    <w:p w:rsidR="000B5DB0" w:rsidRDefault="000B5DB0" w:rsidP="000B5DB0">
      <w:pPr>
        <w:ind w:left="705" w:hanging="705"/>
        <w:rPr>
          <w:rFonts w:cs="Arial"/>
          <w:b/>
          <w:bCs/>
          <w:sz w:val="10"/>
          <w:szCs w:val="10"/>
        </w:rPr>
      </w:pPr>
    </w:p>
    <w:p w:rsidR="000B5DB0" w:rsidRDefault="000B5DB0" w:rsidP="000B5DB0">
      <w:pPr>
        <w:ind w:left="705" w:hanging="705"/>
        <w:rPr>
          <w:rFonts w:cs="Arial"/>
          <w:b/>
          <w:bCs/>
          <w:szCs w:val="24"/>
        </w:rPr>
      </w:pPr>
    </w:p>
    <w:p w:rsidR="000B5DB0" w:rsidRDefault="00A3787D" w:rsidP="000B5DB0">
      <w:pPr>
        <w:ind w:left="705" w:hanging="705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</w:rPr>
        <w:t>3.</w:t>
      </w:r>
      <w:r>
        <w:rPr>
          <w:rFonts w:cs="Arial"/>
          <w:b/>
          <w:bCs/>
          <w:sz w:val="22"/>
          <w:szCs w:val="22"/>
        </w:rPr>
        <w:tab/>
        <w:t>Bescheinigung in Steuersachen</w:t>
      </w:r>
    </w:p>
    <w:p w:rsidR="000B5DB0" w:rsidRDefault="000B5DB0" w:rsidP="000B5DB0">
      <w:pPr>
        <w:ind w:firstLine="708"/>
        <w:rPr>
          <w:rFonts w:cs="Arial"/>
          <w:sz w:val="22"/>
          <w:szCs w:val="22"/>
        </w:rPr>
      </w:pPr>
    </w:p>
    <w:p w:rsidR="00B113DB" w:rsidRDefault="00A3787D" w:rsidP="000B5DB0">
      <w:pPr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► Finanzamt Betriebssitz- und/oder Wohnsitzfinanzamt sowie</w:t>
      </w:r>
    </w:p>
    <w:p w:rsidR="00B113DB" w:rsidRDefault="00B113DB" w:rsidP="000B5DB0">
      <w:pPr>
        <w:ind w:firstLine="708"/>
        <w:rPr>
          <w:rFonts w:cs="Arial"/>
          <w:sz w:val="22"/>
          <w:szCs w:val="22"/>
        </w:rPr>
      </w:pPr>
    </w:p>
    <w:p w:rsidR="000B5DB0" w:rsidRDefault="00A3787D" w:rsidP="00B113DB">
      <w:pPr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► Gemeindesteueramt</w:t>
      </w:r>
    </w:p>
    <w:p w:rsidR="00B113DB" w:rsidRDefault="00B113DB" w:rsidP="00B113DB">
      <w:pPr>
        <w:pBdr>
          <w:bottom w:val="single" w:sz="12" w:space="1" w:color="auto"/>
        </w:pBdr>
        <w:rPr>
          <w:rFonts w:cs="Arial"/>
          <w:sz w:val="22"/>
          <w:szCs w:val="22"/>
        </w:rPr>
      </w:pPr>
    </w:p>
    <w:p w:rsidR="000B5DB0" w:rsidRDefault="000B5DB0" w:rsidP="000B5DB0">
      <w:pPr>
        <w:rPr>
          <w:rFonts w:cs="Arial"/>
          <w:b/>
          <w:bCs/>
          <w:sz w:val="10"/>
          <w:szCs w:val="10"/>
        </w:rPr>
      </w:pPr>
    </w:p>
    <w:p w:rsidR="000B5DB0" w:rsidRDefault="000B5DB0" w:rsidP="000B5DB0">
      <w:pPr>
        <w:rPr>
          <w:rFonts w:cs="Arial"/>
          <w:b/>
          <w:bCs/>
          <w:szCs w:val="24"/>
        </w:rPr>
      </w:pPr>
    </w:p>
    <w:p w:rsidR="000B5DB0" w:rsidRDefault="00A3787D" w:rsidP="000B5DB0">
      <w:pPr>
        <w:rPr>
          <w:rFonts w:cs="Arial"/>
          <w:b/>
          <w:sz w:val="22"/>
          <w:szCs w:val="22"/>
        </w:rPr>
      </w:pPr>
      <w:r>
        <w:rPr>
          <w:rFonts w:cs="Arial"/>
          <w:b/>
          <w:bCs/>
        </w:rPr>
        <w:t xml:space="preserve">4. </w:t>
      </w:r>
      <w:r>
        <w:rPr>
          <w:rFonts w:cs="Arial"/>
          <w:b/>
          <w:bCs/>
        </w:rPr>
        <w:tab/>
      </w:r>
      <w:r w:rsidR="00B113DB">
        <w:rPr>
          <w:rFonts w:cs="Arial"/>
          <w:sz w:val="22"/>
          <w:szCs w:val="22"/>
        </w:rPr>
        <w:t xml:space="preserve">Nachweis der </w:t>
      </w:r>
      <w:r w:rsidR="00B113DB" w:rsidRPr="00B113DB">
        <w:rPr>
          <w:rFonts w:cs="Arial"/>
          <w:b/>
          <w:sz w:val="22"/>
          <w:szCs w:val="22"/>
        </w:rPr>
        <w:t>Haftpflichtversicherung</w:t>
      </w:r>
    </w:p>
    <w:p w:rsidR="00B113DB" w:rsidRDefault="00B113DB" w:rsidP="000B5DB0">
      <w:pPr>
        <w:rPr>
          <w:rFonts w:cs="Arial"/>
          <w:sz w:val="22"/>
          <w:szCs w:val="22"/>
        </w:rPr>
      </w:pPr>
    </w:p>
    <w:p w:rsidR="00B113DB" w:rsidRDefault="00A3787D" w:rsidP="00B113DB">
      <w:pPr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für natürliche Personen </w:t>
      </w:r>
      <w:r>
        <w:rPr>
          <w:rFonts w:cs="Arial"/>
          <w:sz w:val="22"/>
          <w:szCs w:val="22"/>
        </w:rPr>
        <w:t>(Einzelunternehmen, eingetragene Kaufleute)</w:t>
      </w:r>
    </w:p>
    <w:p w:rsidR="00B113DB" w:rsidRDefault="00A3787D" w:rsidP="00B113DB">
      <w:pPr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bei Personengesellschaften für jeden geschäftsführungsbefugten Gesellschafter</w:t>
      </w:r>
    </w:p>
    <w:p w:rsidR="00B113DB" w:rsidRDefault="00A3787D" w:rsidP="00B113DB">
      <w:pPr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bei juristischen Personen für die juristische Person selbst</w:t>
      </w:r>
    </w:p>
    <w:p w:rsidR="00B113DB" w:rsidRPr="00B113DB" w:rsidRDefault="00A3787D" w:rsidP="00B113DB">
      <w:pPr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bei einer Personenhandelsgesellschaft (OHG, KG, nicht GbR) auch für </w:t>
      </w:r>
      <w:r>
        <w:rPr>
          <w:rFonts w:cs="Arial"/>
          <w:sz w:val="22"/>
          <w:szCs w:val="22"/>
        </w:rPr>
        <w:t>die Gesellschaft selbst</w:t>
      </w:r>
    </w:p>
    <w:p w:rsidR="000B5DB0" w:rsidRPr="00AA1F43" w:rsidRDefault="000B5DB0" w:rsidP="000B5DB0">
      <w:pPr>
        <w:rPr>
          <w:rFonts w:cs="Arial"/>
          <w:sz w:val="16"/>
          <w:szCs w:val="16"/>
        </w:rPr>
      </w:pPr>
    </w:p>
    <w:p w:rsidR="000B5DB0" w:rsidRDefault="00A3787D" w:rsidP="00005585">
      <w:pPr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► Die Versicherung muss beim Betriebsbeginn bereits vorliegen.</w:t>
      </w:r>
    </w:p>
    <w:p w:rsidR="00005585" w:rsidRDefault="00005585" w:rsidP="00005585">
      <w:pPr>
        <w:ind w:left="708"/>
        <w:rPr>
          <w:rFonts w:cs="Arial"/>
          <w:sz w:val="22"/>
          <w:szCs w:val="22"/>
        </w:rPr>
      </w:pPr>
    </w:p>
    <w:p w:rsidR="00005585" w:rsidRDefault="00A3787D" w:rsidP="00005585">
      <w:pPr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► Nachweis durch Bestätigung (Versicherungsschein, Police) der Versicherungsgesellschaft</w:t>
      </w:r>
    </w:p>
    <w:p w:rsidR="00005585" w:rsidRDefault="00005585" w:rsidP="00005585">
      <w:pPr>
        <w:ind w:left="708"/>
        <w:rPr>
          <w:rFonts w:cs="Arial"/>
          <w:sz w:val="22"/>
          <w:szCs w:val="22"/>
        </w:rPr>
      </w:pPr>
    </w:p>
    <w:p w:rsidR="00005585" w:rsidRDefault="00A3787D" w:rsidP="00005585">
      <w:pPr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► Mindesthöhen der Versicherungssummen:</w:t>
      </w:r>
    </w:p>
    <w:p w:rsidR="00005585" w:rsidRDefault="00A3787D" w:rsidP="00005585">
      <w:pPr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Personenschäden:……………………….1.00</w:t>
      </w:r>
      <w:r>
        <w:rPr>
          <w:rFonts w:cs="Arial"/>
          <w:sz w:val="22"/>
          <w:szCs w:val="22"/>
        </w:rPr>
        <w:t>0.000 €</w:t>
      </w:r>
    </w:p>
    <w:p w:rsidR="00005585" w:rsidRDefault="00A3787D" w:rsidP="00005585">
      <w:pPr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Sachschäden:………………………………250.000 €</w:t>
      </w:r>
    </w:p>
    <w:p w:rsidR="00005585" w:rsidRDefault="00A3787D" w:rsidP="00005585">
      <w:pPr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Abhandenkommen bewachter Sachen:…...15.000 €</w:t>
      </w:r>
    </w:p>
    <w:p w:rsidR="000B5DB0" w:rsidRPr="00005585" w:rsidRDefault="00A3787D" w:rsidP="00005585">
      <w:pPr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  <w:t>reine Vermögensschäden:………………….12.500 €</w:t>
      </w:r>
    </w:p>
    <w:p w:rsidR="000B5DB0" w:rsidRDefault="000B5DB0" w:rsidP="000B5DB0">
      <w:pPr>
        <w:ind w:left="705" w:hanging="705"/>
        <w:rPr>
          <w:rFonts w:cs="Arial"/>
          <w:b/>
          <w:sz w:val="10"/>
          <w:szCs w:val="10"/>
        </w:rPr>
      </w:pPr>
    </w:p>
    <w:p w:rsidR="000B5DB0" w:rsidRDefault="000B5DB0" w:rsidP="000B5DB0">
      <w:pPr>
        <w:ind w:left="705" w:hanging="705"/>
        <w:rPr>
          <w:rFonts w:cs="Arial"/>
          <w:b/>
          <w:sz w:val="22"/>
          <w:szCs w:val="22"/>
        </w:rPr>
      </w:pPr>
    </w:p>
    <w:p w:rsidR="000B5DB0" w:rsidRDefault="00A3787D" w:rsidP="000B5DB0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5. </w:t>
      </w:r>
      <w:r>
        <w:rPr>
          <w:rFonts w:cs="Arial"/>
          <w:b/>
          <w:sz w:val="22"/>
          <w:szCs w:val="22"/>
        </w:rPr>
        <w:tab/>
      </w:r>
      <w:r w:rsidR="00005585">
        <w:rPr>
          <w:rFonts w:cs="Arial"/>
          <w:sz w:val="22"/>
          <w:szCs w:val="22"/>
        </w:rPr>
        <w:t>Falls der/die Antragsteller/in bereits selbständig tätig war oder ist:</w:t>
      </w:r>
    </w:p>
    <w:p w:rsidR="00005585" w:rsidRDefault="00005585" w:rsidP="000B5DB0">
      <w:pPr>
        <w:ind w:left="705" w:hanging="705"/>
        <w:rPr>
          <w:rFonts w:cs="Arial"/>
          <w:sz w:val="22"/>
          <w:szCs w:val="22"/>
        </w:rPr>
      </w:pPr>
    </w:p>
    <w:p w:rsidR="00005585" w:rsidRDefault="00A3787D" w:rsidP="000B5DB0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► </w:t>
      </w:r>
      <w:r>
        <w:rPr>
          <w:rFonts w:cs="Arial"/>
          <w:b/>
          <w:sz w:val="22"/>
          <w:szCs w:val="22"/>
        </w:rPr>
        <w:t>Bestätigung der Sozialversicherung</w:t>
      </w:r>
      <w:r>
        <w:rPr>
          <w:rFonts w:cs="Arial"/>
          <w:sz w:val="22"/>
          <w:szCs w:val="22"/>
        </w:rPr>
        <w:t>, dass kein</w:t>
      </w:r>
      <w:r>
        <w:rPr>
          <w:rFonts w:cs="Arial"/>
          <w:sz w:val="22"/>
          <w:szCs w:val="22"/>
        </w:rPr>
        <w:t>e Rückstände vorhanden sind</w:t>
      </w:r>
    </w:p>
    <w:p w:rsidR="00005585" w:rsidRDefault="00005585" w:rsidP="000B5DB0">
      <w:pPr>
        <w:pBdr>
          <w:bottom w:val="single" w:sz="12" w:space="1" w:color="auto"/>
        </w:pBdr>
        <w:ind w:left="705" w:hanging="705"/>
        <w:rPr>
          <w:rFonts w:cs="Arial"/>
          <w:sz w:val="22"/>
          <w:szCs w:val="22"/>
        </w:rPr>
      </w:pPr>
    </w:p>
    <w:p w:rsidR="00005585" w:rsidRDefault="00005585" w:rsidP="000B5DB0">
      <w:pPr>
        <w:ind w:left="705" w:hanging="705"/>
        <w:rPr>
          <w:rFonts w:cs="Arial"/>
          <w:sz w:val="22"/>
          <w:szCs w:val="22"/>
        </w:rPr>
      </w:pPr>
    </w:p>
    <w:p w:rsidR="00005585" w:rsidRPr="00005585" w:rsidRDefault="00A3787D" w:rsidP="000B5DB0">
      <w:pPr>
        <w:ind w:left="705" w:hanging="705"/>
        <w:rPr>
          <w:rFonts w:cs="Arial"/>
          <w:b/>
          <w:sz w:val="22"/>
          <w:szCs w:val="22"/>
        </w:rPr>
      </w:pPr>
      <w:r w:rsidRPr="00005585">
        <w:rPr>
          <w:rFonts w:cs="Arial"/>
          <w:b/>
          <w:sz w:val="22"/>
          <w:szCs w:val="22"/>
        </w:rPr>
        <w:t xml:space="preserve">6.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Bei juristischen Personen: </w:t>
      </w:r>
      <w:r>
        <w:rPr>
          <w:rFonts w:cs="Arial"/>
          <w:b/>
          <w:sz w:val="22"/>
          <w:szCs w:val="22"/>
        </w:rPr>
        <w:t>Handelsregisterauszug sowie Gesellschaftsvertrag</w:t>
      </w:r>
    </w:p>
    <w:p w:rsidR="000B5DB0" w:rsidRDefault="000B5DB0" w:rsidP="000B5DB0">
      <w:pPr>
        <w:ind w:left="705" w:hanging="705"/>
        <w:rPr>
          <w:rFonts w:cs="Arial"/>
          <w:sz w:val="22"/>
          <w:szCs w:val="22"/>
        </w:rPr>
      </w:pPr>
    </w:p>
    <w:p w:rsidR="000B5DB0" w:rsidRDefault="000B5DB0" w:rsidP="000B5DB0">
      <w:pPr>
        <w:ind w:left="705" w:hanging="705"/>
        <w:rPr>
          <w:rFonts w:cs="Arial"/>
          <w:sz w:val="22"/>
          <w:szCs w:val="22"/>
        </w:rPr>
      </w:pPr>
    </w:p>
    <w:p w:rsidR="000B5DB0" w:rsidRDefault="000B5DB0" w:rsidP="000B5DB0">
      <w:pPr>
        <w:ind w:left="705" w:hanging="705"/>
        <w:rPr>
          <w:rFonts w:cs="Arial"/>
          <w:b/>
          <w:sz w:val="22"/>
          <w:szCs w:val="22"/>
        </w:rPr>
      </w:pPr>
    </w:p>
    <w:p w:rsidR="00005585" w:rsidRDefault="00A3787D" w:rsidP="000B5DB0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Hinweise:</w:t>
      </w:r>
    </w:p>
    <w:p w:rsidR="00005585" w:rsidRDefault="00005585" w:rsidP="000B5DB0">
      <w:pPr>
        <w:ind w:left="705" w:hanging="705"/>
        <w:rPr>
          <w:rFonts w:cs="Arial"/>
          <w:sz w:val="22"/>
          <w:szCs w:val="22"/>
        </w:rPr>
      </w:pPr>
    </w:p>
    <w:p w:rsidR="00005585" w:rsidRDefault="00A3787D" w:rsidP="000B5DB0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► Das Erlaubnisverfahren ist kostenpflichtig.</w:t>
      </w:r>
    </w:p>
    <w:p w:rsidR="00005585" w:rsidRDefault="00005585" w:rsidP="000B5DB0">
      <w:pPr>
        <w:ind w:left="705" w:hanging="705"/>
        <w:rPr>
          <w:rFonts w:cs="Arial"/>
          <w:sz w:val="22"/>
          <w:szCs w:val="22"/>
        </w:rPr>
      </w:pPr>
    </w:p>
    <w:p w:rsidR="000E1433" w:rsidRDefault="00A3787D" w:rsidP="000E1433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► Zur Überprüfung der Zuverlässigkeit werden gemäß § 34a GewO mindestens eingeholt </w:t>
      </w:r>
      <w:r>
        <w:rPr>
          <w:rFonts w:cs="Arial"/>
          <w:sz w:val="22"/>
          <w:szCs w:val="22"/>
        </w:rPr>
        <w:t>Auskünfte</w:t>
      </w:r>
    </w:p>
    <w:p w:rsidR="000E1433" w:rsidRDefault="00A3787D" w:rsidP="000E1433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005585">
        <w:rPr>
          <w:rFonts w:cs="Arial"/>
          <w:sz w:val="22"/>
          <w:szCs w:val="22"/>
        </w:rPr>
        <w:t xml:space="preserve">aus dem Gewerbezentralregister und dem Bundeszentralregister sowie eine Stellungnahme </w:t>
      </w:r>
      <w:r>
        <w:rPr>
          <w:rFonts w:cs="Arial"/>
          <w:sz w:val="22"/>
          <w:szCs w:val="22"/>
        </w:rPr>
        <w:t>der</w:t>
      </w:r>
    </w:p>
    <w:p w:rsidR="00005585" w:rsidRDefault="00A3787D" w:rsidP="000E1433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Polizei.</w:t>
      </w:r>
    </w:p>
    <w:p w:rsidR="000E1433" w:rsidRDefault="000E1433" w:rsidP="000E1433">
      <w:pPr>
        <w:ind w:left="705" w:hanging="705"/>
        <w:rPr>
          <w:rFonts w:cs="Arial"/>
          <w:sz w:val="22"/>
          <w:szCs w:val="22"/>
        </w:rPr>
      </w:pPr>
    </w:p>
    <w:p w:rsidR="000E1433" w:rsidRDefault="00A3787D" w:rsidP="000E1433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► Ausländer, die sich in Deutschland aufhalten und selbständig oder nichtselbständig tätig werden</w:t>
      </w:r>
    </w:p>
    <w:p w:rsidR="000E1433" w:rsidRDefault="00A3787D" w:rsidP="000E1433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wollen, benötigen einen hierzu be</w:t>
      </w:r>
      <w:r>
        <w:rPr>
          <w:rFonts w:cs="Arial"/>
          <w:sz w:val="22"/>
          <w:szCs w:val="22"/>
        </w:rPr>
        <w:t>rechtigenden deutschen Aufenthaltstitel, soweit sie nicht die</w:t>
      </w:r>
    </w:p>
    <w:p w:rsidR="000E1433" w:rsidRDefault="00A3787D" w:rsidP="000E1433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Staatsangehörigkeit eines EU/EWR-Mitgliedstaates haben.</w:t>
      </w:r>
    </w:p>
    <w:p w:rsidR="000E1433" w:rsidRDefault="000E1433" w:rsidP="000E1433">
      <w:pPr>
        <w:ind w:left="705" w:hanging="705"/>
        <w:rPr>
          <w:rFonts w:cs="Arial"/>
          <w:sz w:val="22"/>
          <w:szCs w:val="22"/>
        </w:rPr>
      </w:pPr>
    </w:p>
    <w:p w:rsidR="000E1433" w:rsidRDefault="00A3787D" w:rsidP="000E1433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► Der Gewerbebetrieb darf erst nach Erteilung der Erlaubnis begonnen werden. Zuwiderhandlungen</w:t>
      </w:r>
    </w:p>
    <w:p w:rsidR="000E1433" w:rsidRDefault="00A3787D" w:rsidP="000E1433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können mit Bußgeld geahndet werden.</w:t>
      </w:r>
    </w:p>
    <w:p w:rsidR="000E1433" w:rsidRDefault="000E1433" w:rsidP="000E1433">
      <w:pPr>
        <w:ind w:left="705" w:hanging="705"/>
        <w:rPr>
          <w:rFonts w:cs="Arial"/>
          <w:sz w:val="22"/>
          <w:szCs w:val="22"/>
        </w:rPr>
      </w:pPr>
    </w:p>
    <w:p w:rsidR="000E1433" w:rsidRDefault="00A3787D" w:rsidP="000E1433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► Der Beginn ist gemäß § 14 GewO bei der zuständigen Gemeinde anzuzeigen</w:t>
      </w:r>
    </w:p>
    <w:p w:rsidR="000E1433" w:rsidRPr="00005585" w:rsidRDefault="00A3787D" w:rsidP="000E1433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(Gewerbeanmeldung).</w:t>
      </w:r>
    </w:p>
    <w:p w:rsidR="00741A80" w:rsidRPr="000B5DB0" w:rsidRDefault="00741A80" w:rsidP="000B5DB0">
      <w:pPr>
        <w:tabs>
          <w:tab w:val="left" w:pos="5733"/>
        </w:tabs>
        <w:rPr>
          <w:rFonts w:eastAsiaTheme="minorHAnsi"/>
        </w:rPr>
      </w:pPr>
    </w:p>
    <w:sectPr w:rsidR="00741A80" w:rsidRPr="000B5DB0" w:rsidSect="00904131">
      <w:footerReference w:type="default" r:id="rId10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787D">
      <w:r>
        <w:separator/>
      </w:r>
    </w:p>
  </w:endnote>
  <w:endnote w:type="continuationSeparator" w:id="0">
    <w:p w:rsidR="00000000" w:rsidRDefault="00A3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41" w:rsidRPr="00813541" w:rsidRDefault="00A3787D" w:rsidP="00813541">
    <w:pPr>
      <w:overflowPunct/>
      <w:autoSpaceDE/>
      <w:adjustRightInd/>
      <w:spacing w:after="120"/>
      <w:textAlignment w:val="auto"/>
      <w:rPr>
        <w:rFonts w:cs="Arial"/>
        <w:color w:val="808080" w:themeColor="background1" w:themeShade="80"/>
        <w:sz w:val="22"/>
        <w:szCs w:val="22"/>
        <w:lang w:eastAsia="en-US"/>
      </w:rPr>
    </w:pPr>
    <w:r w:rsidRPr="00813541"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 w:rsidRPr="00813541"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 w:rsidRPr="00813541"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 w:rsidRPr="00813541">
      <w:rPr>
        <w:rFonts w:cs="Arial"/>
        <w:color w:val="808080" w:themeColor="background1" w:themeShade="80"/>
        <w:sz w:val="22"/>
        <w:szCs w:val="22"/>
        <w:lang w:eastAsia="en-US"/>
      </w:rPr>
      <w:t>Checkliste Unterlagen § 34a GewO</w:t>
    </w:r>
    <w:r w:rsidRPr="00813541"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813541" w:rsidRPr="00813541" w:rsidRDefault="00A3787D" w:rsidP="00813541">
    <w:pPr>
      <w:tabs>
        <w:tab w:val="center" w:pos="4678"/>
        <w:tab w:val="left" w:pos="8364"/>
        <w:tab w:val="right" w:pos="9639"/>
      </w:tabs>
      <w:overflowPunct/>
      <w:autoSpaceDE/>
      <w:adjustRightInd/>
      <w:textAlignment w:val="auto"/>
      <w:rPr>
        <w:rFonts w:ascii="Calibri" w:hAnsi="Calibri"/>
        <w:sz w:val="22"/>
        <w:szCs w:val="22"/>
        <w:lang w:eastAsia="en-US"/>
      </w:rPr>
    </w:pPr>
    <w:r w:rsidRPr="00813541"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 w:rsidRPr="00813541"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 w:rsidRPr="00813541"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 w:rsidRPr="00813541"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 w:rsidRPr="00813541">
      <w:rPr>
        <w:rFonts w:cs="Arial"/>
        <w:color w:val="808080" w:themeColor="background1" w:themeShade="80"/>
        <w:sz w:val="22"/>
        <w:szCs w:val="22"/>
        <w:lang w:eastAsia="en-US"/>
      </w:rPr>
      <w:t>1</w:t>
    </w:r>
    <w:r w:rsidRPr="00813541"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 w:rsidRPr="00813541"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 w:rsidRPr="00813541">
      <w:rPr>
        <w:rFonts w:cs="Arial"/>
        <w:color w:val="808080" w:themeColor="background1" w:themeShade="80"/>
        <w:sz w:val="22"/>
        <w:szCs w:val="22"/>
        <w:lang w:eastAsia="en-US"/>
      </w:rPr>
      <w:tab/>
    </w:r>
    <w:r w:rsidRPr="00813541"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 w:rsidRPr="00813541"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 w:rsidRPr="00813541"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 w:rsidRPr="00813541"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 w:rsidRPr="00813541"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 w:rsidRPr="00813541"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 w:rsidRPr="00813541"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 w:rsidRPr="00813541"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 w:rsidRPr="00813541"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 w:rsidRPr="00813541"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787D">
      <w:r>
        <w:separator/>
      </w:r>
    </w:p>
  </w:footnote>
  <w:footnote w:type="continuationSeparator" w:id="0">
    <w:p w:rsidR="00000000" w:rsidRDefault="00A37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6DDAB968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6D361D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3433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AC2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38EF1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B476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D4E4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A62A5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C6A5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0D20E8E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20E2DA80" w:tentative="1">
      <w:start w:val="1"/>
      <w:numFmt w:val="lowerLetter"/>
      <w:lvlText w:val="%2."/>
      <w:lvlJc w:val="left"/>
      <w:pPr>
        <w:ind w:left="1647" w:hanging="360"/>
      </w:pPr>
    </w:lvl>
    <w:lvl w:ilvl="2" w:tplc="F8C4262C" w:tentative="1">
      <w:start w:val="1"/>
      <w:numFmt w:val="lowerRoman"/>
      <w:lvlText w:val="%3."/>
      <w:lvlJc w:val="right"/>
      <w:pPr>
        <w:ind w:left="2367" w:hanging="180"/>
      </w:pPr>
    </w:lvl>
    <w:lvl w:ilvl="3" w:tplc="B9DE282A" w:tentative="1">
      <w:start w:val="1"/>
      <w:numFmt w:val="decimal"/>
      <w:lvlText w:val="%4."/>
      <w:lvlJc w:val="left"/>
      <w:pPr>
        <w:ind w:left="3087" w:hanging="360"/>
      </w:pPr>
    </w:lvl>
    <w:lvl w:ilvl="4" w:tplc="28CED798" w:tentative="1">
      <w:start w:val="1"/>
      <w:numFmt w:val="lowerLetter"/>
      <w:lvlText w:val="%5."/>
      <w:lvlJc w:val="left"/>
      <w:pPr>
        <w:ind w:left="3807" w:hanging="360"/>
      </w:pPr>
    </w:lvl>
    <w:lvl w:ilvl="5" w:tplc="5E4CF0DE" w:tentative="1">
      <w:start w:val="1"/>
      <w:numFmt w:val="lowerRoman"/>
      <w:lvlText w:val="%6."/>
      <w:lvlJc w:val="right"/>
      <w:pPr>
        <w:ind w:left="4527" w:hanging="180"/>
      </w:pPr>
    </w:lvl>
    <w:lvl w:ilvl="6" w:tplc="0BF882BC" w:tentative="1">
      <w:start w:val="1"/>
      <w:numFmt w:val="decimal"/>
      <w:lvlText w:val="%7."/>
      <w:lvlJc w:val="left"/>
      <w:pPr>
        <w:ind w:left="5247" w:hanging="360"/>
      </w:pPr>
    </w:lvl>
    <w:lvl w:ilvl="7" w:tplc="F4DC4A7A" w:tentative="1">
      <w:start w:val="1"/>
      <w:numFmt w:val="lowerLetter"/>
      <w:lvlText w:val="%8."/>
      <w:lvlJc w:val="left"/>
      <w:pPr>
        <w:ind w:left="5967" w:hanging="360"/>
      </w:pPr>
    </w:lvl>
    <w:lvl w:ilvl="8" w:tplc="8D28DDB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94E20F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EBC2F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C80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4C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07B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684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27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4DC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828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Full" w:cryptAlgorithmClass="hash" w:cryptAlgorithmType="typeAny" w:cryptAlgorithmSid="4" w:cryptSpinCount="50000" w:hash="e+bLCNWHH0RZe9lQnEFWE9EcOao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Checkliste Unterlagen § 34a GewO"/>
  </w:docVars>
  <w:rsids>
    <w:rsidRoot w:val="007F057E"/>
    <w:rsid w:val="00005585"/>
    <w:rsid w:val="0006566B"/>
    <w:rsid w:val="00075A48"/>
    <w:rsid w:val="000B5DB0"/>
    <w:rsid w:val="000E1433"/>
    <w:rsid w:val="000E4890"/>
    <w:rsid w:val="003C7501"/>
    <w:rsid w:val="003E4BD1"/>
    <w:rsid w:val="00432A76"/>
    <w:rsid w:val="00460C95"/>
    <w:rsid w:val="00483D45"/>
    <w:rsid w:val="004932F5"/>
    <w:rsid w:val="004F785D"/>
    <w:rsid w:val="005636E4"/>
    <w:rsid w:val="005678A4"/>
    <w:rsid w:val="00571542"/>
    <w:rsid w:val="005D7D92"/>
    <w:rsid w:val="00617332"/>
    <w:rsid w:val="00636C87"/>
    <w:rsid w:val="00641717"/>
    <w:rsid w:val="00674DD4"/>
    <w:rsid w:val="00684CCB"/>
    <w:rsid w:val="006953BC"/>
    <w:rsid w:val="00741A80"/>
    <w:rsid w:val="007F057E"/>
    <w:rsid w:val="00813541"/>
    <w:rsid w:val="00841C45"/>
    <w:rsid w:val="008C3CC9"/>
    <w:rsid w:val="008F4A63"/>
    <w:rsid w:val="00904131"/>
    <w:rsid w:val="0092062F"/>
    <w:rsid w:val="00927CDA"/>
    <w:rsid w:val="00974F68"/>
    <w:rsid w:val="009F37F1"/>
    <w:rsid w:val="00A3787D"/>
    <w:rsid w:val="00A75D96"/>
    <w:rsid w:val="00AA1F43"/>
    <w:rsid w:val="00AE0894"/>
    <w:rsid w:val="00B113DB"/>
    <w:rsid w:val="00BD5C58"/>
    <w:rsid w:val="00BF3C1E"/>
    <w:rsid w:val="00C470CE"/>
    <w:rsid w:val="00CB0F1F"/>
    <w:rsid w:val="00CD4B1B"/>
    <w:rsid w:val="00D50821"/>
    <w:rsid w:val="00D5328C"/>
    <w:rsid w:val="00DA6A91"/>
    <w:rsid w:val="00DB1246"/>
    <w:rsid w:val="00F0206D"/>
    <w:rsid w:val="00F56FA6"/>
    <w:rsid w:val="00FB2E7F"/>
    <w:rsid w:val="00FB5751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F3004-8827-4168-8EC4-FD235D65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C9B6A-4EBB-4294-8B62-4DE90AB1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2020-06-16T07:05:00Z</dcterms:created>
  <dcterms:modified xsi:type="dcterms:W3CDTF">2020-06-16T07:05:00Z</dcterms:modified>
</cp:coreProperties>
</file>