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5E3722" w:rsidP="00904131">
      <w:pPr>
        <w:jc w:val="right"/>
        <w:rPr>
          <w:b/>
          <w:color w:val="232323"/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52708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88815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5E372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372311" w:rsidRDefault="00372311" w:rsidP="00372311">
      <w:pPr>
        <w:pStyle w:val="Titel"/>
        <w:jc w:val="left"/>
      </w:pPr>
    </w:p>
    <w:p w:rsidR="00372311" w:rsidRPr="00372311" w:rsidRDefault="005E3722" w:rsidP="00372311">
      <w:pPr>
        <w:pStyle w:val="Titel"/>
        <w:rPr>
          <w:rFonts w:cs="Arial"/>
          <w:sz w:val="24"/>
          <w:szCs w:val="24"/>
          <w:u w:val="single"/>
        </w:rPr>
      </w:pPr>
      <w:r w:rsidRPr="00372311">
        <w:rPr>
          <w:sz w:val="24"/>
          <w:szCs w:val="24"/>
          <w:u w:val="single"/>
        </w:rPr>
        <w:t>I</w:t>
      </w:r>
      <w:r w:rsidRPr="00372311">
        <w:rPr>
          <w:rFonts w:cs="Arial"/>
          <w:sz w:val="24"/>
          <w:szCs w:val="24"/>
          <w:u w:val="single"/>
        </w:rPr>
        <w:t>nformationsblatt zur Sicherheit in Gastronomiebetrieben</w:t>
      </w:r>
    </w:p>
    <w:p w:rsidR="00372311" w:rsidRPr="00372311" w:rsidRDefault="00372311" w:rsidP="00372311">
      <w:pPr>
        <w:jc w:val="center"/>
        <w:rPr>
          <w:rFonts w:cs="Arial"/>
          <w:b/>
          <w:szCs w:val="24"/>
        </w:rPr>
      </w:pPr>
    </w:p>
    <w:p w:rsidR="00372311" w:rsidRPr="00372311" w:rsidRDefault="005E3722" w:rsidP="00372311">
      <w:pPr>
        <w:pStyle w:val="Untertitel"/>
        <w:rPr>
          <w:rFonts w:cs="Arial"/>
          <w:sz w:val="24"/>
          <w:szCs w:val="24"/>
        </w:rPr>
      </w:pPr>
      <w:r w:rsidRPr="00372311">
        <w:rPr>
          <w:rFonts w:cs="Arial"/>
          <w:sz w:val="24"/>
          <w:szCs w:val="24"/>
        </w:rPr>
        <w:t>Eine Information Ihres zuständigen Gewerbeaufsichtsamtes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 xml:space="preserve">Um Sie als Gastronom vor unnötigen Kosten und Schwierigkeiten zu bewahren, erhalten Sie nachfolgend einige </w:t>
      </w:r>
      <w:r w:rsidRPr="00372311">
        <w:rPr>
          <w:sz w:val="22"/>
          <w:szCs w:val="22"/>
        </w:rPr>
        <w:t>wichtige Informationen über Gasanlagen und lüftungstechnische Einrichtungen (in der Küche) sowie über den vorschriftsmäßigen Umgang mit heißen Fetten und Ölen.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pStyle w:val="berschrift1"/>
        <w:jc w:val="left"/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Gasanlagen und lüftungstechnische Einrichtungen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 xml:space="preserve">Die EG-Richtlinie über Gasverbrauchseinrichtungen, die seit dem 01.Januar 1996 verbindlich anzuwenden ist, stellt grundlegende Sicherheitsanforderungen an Geräte und deren Ausrüstungsteile. 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Beim Inverkehrbringen eines Gerätes muß es mit der CE-Kennzeichnu</w:t>
      </w:r>
      <w:r w:rsidRPr="00372311">
        <w:rPr>
          <w:rFonts w:cs="Arial"/>
          <w:sz w:val="22"/>
          <w:szCs w:val="22"/>
        </w:rPr>
        <w:t>ng versehen sein.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Die Installation von Gaseinrichtungen in der Küche ist entsprechend dem DVGW-Arbeitsblatt G 634 „Installation von Gasgeräten in gewerblichen Küchen in Gebäuden“ auszuführen. Bei Verwendung von Flüssiggas ist zusätzlich die Berufsgenossen</w:t>
      </w:r>
      <w:r w:rsidRPr="00372311">
        <w:rPr>
          <w:rFonts w:cs="Arial"/>
          <w:sz w:val="22"/>
          <w:szCs w:val="22"/>
        </w:rPr>
        <w:t>schaftliche Vorschrift BGV D 34 „Verwendung von Flüssiggas“ zu beachten.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Gasanlagen (Betrieb mit Gasen der öffentlichen Gasversorgung oder Flüssiggas) sind regelmäßig durch einen Sachkundigen zu prüfen.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 xml:space="preserve">Die raumlufttechnische Anlage (RTL-Anlage) in der </w:t>
      </w:r>
      <w:r w:rsidRPr="00372311">
        <w:rPr>
          <w:rFonts w:cs="Arial"/>
          <w:sz w:val="22"/>
          <w:szCs w:val="22"/>
        </w:rPr>
        <w:t>Küche ist entsprechend der VDI-Richtlinie 2052 auszuführen. Vor der Inbetriebnahme ist sie einer Abnahmeprüfung zu unterziehen und danach regelmäßig durch einen Sachkundigen zu prüfen.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 xml:space="preserve">Wird zur Gasversorgung ein Druckbehälter (Flüssiggastank) eingesetzt, </w:t>
      </w:r>
      <w:r w:rsidRPr="00372311">
        <w:rPr>
          <w:rFonts w:cs="Arial"/>
          <w:sz w:val="22"/>
          <w:szCs w:val="22"/>
        </w:rPr>
        <w:t>ist dieser wiederkehrend von einem Sachverständigen bzw. Sachkundigen zu prüfen.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Das Prüfbuch und die Prüfbescheinigungen für den Druckbehälter ist/sind am Betriebsort aufzubewahren.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 xml:space="preserve">Erfolgt die Gasversorgung aus Druckgasbehältern (Flüssiggasflaschen) ist </w:t>
      </w:r>
      <w:r w:rsidRPr="00372311">
        <w:rPr>
          <w:rFonts w:cs="Arial"/>
          <w:sz w:val="22"/>
          <w:szCs w:val="22"/>
        </w:rPr>
        <w:t>sicherzustellen, dass diese gegen den Zugriff Unbefugter gesichert sind.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Die Druckgasbehälter sind in einem vorschriftsmäßigen, abschließbaren und aus nicht brennbarem Material bestehenden Flaschenschrank zu lagern.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Der Schrank zur Lagerung der Druckgasbe</w:t>
      </w:r>
      <w:r w:rsidRPr="00372311">
        <w:rPr>
          <w:rFonts w:cs="Arial"/>
          <w:sz w:val="22"/>
          <w:szCs w:val="22"/>
        </w:rPr>
        <w:t>hälter ist mit dem Warnhinweis „Rauchen, Feuer und offenes Licht verboten“ zu kennzeichnen.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Er muß je eine Lüftungsöffnung im Boden- und Deckenbereich von 1/100 der Grundfläche, mindestens jedoch 100 Quadratzentimeter haben.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Verwenden Sie beim Anschluss Ih</w:t>
      </w:r>
      <w:r w:rsidRPr="00372311">
        <w:rPr>
          <w:rFonts w:cs="Arial"/>
          <w:sz w:val="22"/>
          <w:szCs w:val="22"/>
        </w:rPr>
        <w:t>rer Flüssiggasverbrauchsgeräte nur die für den Verwendungszweck vorgeschriebenen Druckregler (z.B. Einsatz im Freien oder in Räumen).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pStyle w:val="berschrift1"/>
        <w:jc w:val="left"/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Heiße Öle und Fette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>Friteusen und Fettgeräte dürfen nicht neben der Wasserzapfstelle oder neben Geräten, die Wasser bein</w:t>
      </w:r>
      <w:r w:rsidRPr="00372311">
        <w:rPr>
          <w:sz w:val="22"/>
          <w:szCs w:val="22"/>
        </w:rPr>
        <w:t>halten (z.B. Bainmarie)gestellt werden.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 xml:space="preserve">Die Friteuse ist so aufzustellen, dass der Abstand zwischen Geräten, die Wasser beinhalten, und der Friteuse mind. 900 mm beträgt. Kann dieser Abstand nicht eingehalten werden, ist eine Spritzschutzeinrichtung (z.B. </w:t>
      </w:r>
      <w:r w:rsidRPr="00372311">
        <w:rPr>
          <w:rFonts w:cs="Arial"/>
          <w:sz w:val="22"/>
          <w:szCs w:val="22"/>
        </w:rPr>
        <w:t>Abweisblech) mit einer Mindesthöhe von 350 mm anzubringen.</w:t>
      </w:r>
    </w:p>
    <w:p w:rsidR="00913C96" w:rsidRDefault="005E3722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lastRenderedPageBreak/>
        <w:t>Friteusen sind standsicher und unter der Dunstabzugshaube aufzustellen.</w:t>
      </w:r>
      <w:r>
        <w:rPr>
          <w:rFonts w:cs="Arial"/>
          <w:sz w:val="22"/>
          <w:szCs w:val="22"/>
        </w:rPr>
        <w:t xml:space="preserve"> </w:t>
      </w:r>
      <w:r w:rsidRPr="00372311">
        <w:rPr>
          <w:rFonts w:cs="Arial"/>
          <w:sz w:val="22"/>
          <w:szCs w:val="22"/>
        </w:rPr>
        <w:t>Werden Friteusen / Fettbackgeräte verwendet, sind diese regelmäßig wiederkehrend durch einen Sachkundigen auf ihren ordnung</w:t>
      </w:r>
      <w:r w:rsidRPr="00372311">
        <w:rPr>
          <w:rFonts w:cs="Arial"/>
          <w:sz w:val="22"/>
          <w:szCs w:val="22"/>
        </w:rPr>
        <w:t>sgemäßen Zustand, insbesondere auf Funktionsfähigkeit des Temperaturreglers und Temperaturbegrenzers zu prüfen.</w:t>
      </w:r>
      <w:r>
        <w:rPr>
          <w:rFonts w:cs="Arial"/>
          <w:sz w:val="22"/>
          <w:szCs w:val="22"/>
        </w:rPr>
        <w:t xml:space="preserve"> </w:t>
      </w:r>
      <w:r w:rsidRPr="00372311">
        <w:rPr>
          <w:rFonts w:cs="Arial"/>
          <w:sz w:val="22"/>
          <w:szCs w:val="22"/>
        </w:rPr>
        <w:t>Zum Ablassen und Transport von Fett/Ölen ist ein geeigneter Behälter bereitzustellen.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  <w:u w:val="single"/>
        </w:rPr>
      </w:pPr>
      <w:r w:rsidRPr="00372311">
        <w:rPr>
          <w:rFonts w:cs="Arial"/>
          <w:sz w:val="22"/>
          <w:szCs w:val="22"/>
          <w:u w:val="single"/>
        </w:rPr>
        <w:t>Hinweis:</w:t>
      </w: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 xml:space="preserve">Geeignete Behälter müssen z.B. mit Tragegriffen </w:t>
      </w:r>
      <w:r w:rsidRPr="00372311">
        <w:rPr>
          <w:sz w:val="22"/>
          <w:szCs w:val="22"/>
        </w:rPr>
        <w:t>ausgerüstet sein, aus temperatur- und formbeständigem Material bestehen und mit Einrichtungen gegen Überschwappen (dichtschließender Deckel) ausgerüstet sein.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Fritierfett, das bei Raumtemperatur fest ist, muss so in die Friteuse eingebracht werden, dass k</w:t>
      </w:r>
      <w:r w:rsidRPr="00372311">
        <w:rPr>
          <w:rFonts w:cs="Arial"/>
          <w:sz w:val="22"/>
          <w:szCs w:val="22"/>
        </w:rPr>
        <w:t>eine Brandgefahr besteht.</w:t>
      </w:r>
      <w:r>
        <w:rPr>
          <w:rFonts w:cs="Arial"/>
          <w:sz w:val="22"/>
          <w:szCs w:val="22"/>
        </w:rPr>
        <w:t xml:space="preserve"> </w:t>
      </w:r>
      <w:r w:rsidRPr="00372311">
        <w:rPr>
          <w:rFonts w:cs="Arial"/>
          <w:sz w:val="22"/>
          <w:szCs w:val="22"/>
        </w:rPr>
        <w:t>Dies kann erreicht werden, z.B. durch externes Vorschmelzen oder Verwendung einer Friteuse mit Schmelzeinrichtung.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 xml:space="preserve">Gegenstände, die beim Hineinfallen in heißes Fett / Öl zu einer besonderen Gefährdung führen können, müssen von </w:t>
      </w:r>
      <w:r w:rsidRPr="00372311">
        <w:rPr>
          <w:rFonts w:cs="Arial"/>
          <w:sz w:val="22"/>
          <w:szCs w:val="22"/>
        </w:rPr>
        <w:t>der Friteuse ferngehalten werden.</w:t>
      </w:r>
      <w:r>
        <w:rPr>
          <w:rFonts w:cs="Arial"/>
          <w:sz w:val="22"/>
          <w:szCs w:val="22"/>
        </w:rPr>
        <w:t xml:space="preserve"> </w:t>
      </w:r>
      <w:r w:rsidRPr="00372311">
        <w:rPr>
          <w:rFonts w:cs="Arial"/>
          <w:sz w:val="22"/>
          <w:szCs w:val="22"/>
        </w:rPr>
        <w:t>Verwenden Sie zum Fritieren nur dafür zugelassene Geräte.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b/>
          <w:sz w:val="22"/>
          <w:szCs w:val="22"/>
        </w:rPr>
      </w:pPr>
      <w:r w:rsidRPr="00372311">
        <w:rPr>
          <w:rFonts w:cs="Arial"/>
          <w:b/>
          <w:sz w:val="22"/>
          <w:szCs w:val="22"/>
        </w:rPr>
        <w:t>Brandschutz: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 xml:space="preserve">Zusätzlich zu der Grundausstattung von Küchen mit Feuerlöschern muss zur Bekämpfung von Bränden in Friteusen bis 50 l Füllmenge ein geeigneter </w:t>
      </w:r>
      <w:r w:rsidRPr="00372311">
        <w:rPr>
          <w:sz w:val="22"/>
          <w:szCs w:val="22"/>
        </w:rPr>
        <w:t>Feuerlöscher (nach DIN 14406-5) für Brände von Speiseöl und Speisefetten vorhanden sein.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Für Fritiereinrichtungen mit mehr als 50 l Füllmenge muss eine geeignete selbsttätig wirkende, ortsfeste Feuerlöscheinrichtung / Feuerlöschanlage vorhanden sein.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Ortsf</w:t>
      </w:r>
      <w:r w:rsidRPr="00372311">
        <w:rPr>
          <w:rFonts w:cs="Arial"/>
          <w:sz w:val="22"/>
          <w:szCs w:val="22"/>
        </w:rPr>
        <w:t>este Feuerlöscheinrichtungen sind regelmäßig durch einen Sachkundigen zu prüfen.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Das Ergebnis der Prüfung ist in ein Prüfbuch einzutragen.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pStyle w:val="berschrift1"/>
        <w:jc w:val="left"/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Erste Hilfe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>Im Betrieb müssen die zur Ersten Hilfe erforderlichen Mittel (Verbandkasten) bereitgestellt werden. Sie</w:t>
      </w:r>
      <w:r w:rsidRPr="00372311">
        <w:rPr>
          <w:sz w:val="22"/>
          <w:szCs w:val="22"/>
        </w:rPr>
        <w:t xml:space="preserve"> müssen im Bedarfsfall leicht zugänglich und gegen Verunreinigung geschützt sein.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pStyle w:val="berschrift1"/>
        <w:jc w:val="left"/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Arbeitsschutzgesetz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>Zur Vermeidung von Unfall- und Gesundheitsgefahren im Betrieb sind vom Arbeitgeber Betriebsanweisungen in verständlicher Form und Sprache zu erstellen.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Die Betriebsanweisungen bilden die Grundlage für die innerbetriebliche Unterweisung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Maschinen, Geräte, und sonstige technische Arbeitsmittel (Friteuse, Wok, Herd etc.) dürfen nach nur bestimmungsgemäß unter Berücksichtigung der Betriebsanleitung und gegebe</w:t>
      </w:r>
      <w:r w:rsidRPr="00372311">
        <w:rPr>
          <w:rFonts w:cs="Arial"/>
          <w:sz w:val="22"/>
          <w:szCs w:val="22"/>
        </w:rPr>
        <w:t>nenfalls ergänzender Betriebsanweisungen verwendet werden.</w:t>
      </w:r>
    </w:p>
    <w:p w:rsidR="00372311" w:rsidRPr="00372311" w:rsidRDefault="005E3722" w:rsidP="00372311">
      <w:pPr>
        <w:rPr>
          <w:rFonts w:cs="Arial"/>
          <w:sz w:val="22"/>
          <w:szCs w:val="22"/>
        </w:rPr>
      </w:pPr>
      <w:r w:rsidRPr="00372311">
        <w:rPr>
          <w:rFonts w:cs="Arial"/>
          <w:sz w:val="22"/>
          <w:szCs w:val="22"/>
        </w:rPr>
        <w:t>Die Arbeitnehmer sind über die bei ihren Tätigkeiten auftretenden Gefahren sowie über die Maßnahmen zu deren Abwendung vor der Beschäftigung und danach in angemessenen Zeitabständen, mindestens jed</w:t>
      </w:r>
      <w:r w:rsidRPr="00372311">
        <w:rPr>
          <w:rFonts w:cs="Arial"/>
          <w:sz w:val="22"/>
          <w:szCs w:val="22"/>
        </w:rPr>
        <w:t>och einmal jährlich, zu unterweisen.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b/>
          <w:sz w:val="22"/>
          <w:szCs w:val="22"/>
        </w:rPr>
      </w:pPr>
      <w:r w:rsidRPr="00372311">
        <w:rPr>
          <w:rFonts w:cs="Arial"/>
          <w:b/>
          <w:sz w:val="22"/>
          <w:szCs w:val="22"/>
        </w:rPr>
        <w:t>Prüfnachweise: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pStyle w:val="Textkrper"/>
        <w:ind w:left="0"/>
        <w:rPr>
          <w:sz w:val="22"/>
          <w:szCs w:val="22"/>
        </w:rPr>
      </w:pPr>
      <w:r w:rsidRPr="00372311">
        <w:rPr>
          <w:sz w:val="22"/>
          <w:szCs w:val="22"/>
        </w:rPr>
        <w:t>Die erforderlichen aktuellen Prüfbescheinigungen (Sachkundigenprüfungen) sind am Betriebsort aufzubewahren.</w:t>
      </w:r>
    </w:p>
    <w:p w:rsidR="00372311" w:rsidRPr="00372311" w:rsidRDefault="00372311" w:rsidP="00372311">
      <w:pPr>
        <w:rPr>
          <w:rFonts w:cs="Arial"/>
          <w:sz w:val="22"/>
          <w:szCs w:val="22"/>
        </w:rPr>
      </w:pPr>
    </w:p>
    <w:p w:rsidR="00372311" w:rsidRPr="00372311" w:rsidRDefault="005E3722" w:rsidP="00372311">
      <w:pPr>
        <w:rPr>
          <w:rFonts w:cs="Arial"/>
          <w:b/>
          <w:sz w:val="22"/>
          <w:szCs w:val="22"/>
          <w:u w:val="single"/>
        </w:rPr>
      </w:pPr>
      <w:r w:rsidRPr="00372311">
        <w:rPr>
          <w:rFonts w:cs="Arial"/>
          <w:b/>
          <w:sz w:val="22"/>
          <w:szCs w:val="22"/>
          <w:u w:val="single"/>
        </w:rPr>
        <w:t>Weitere Informationen erhalten Sie bei Ihrem Gewerbeaufsichtsamt: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372311" w:rsidRDefault="005E3722" w:rsidP="00372311">
      <w:pPr>
        <w:rPr>
          <w:rFonts w:cs="Arial"/>
          <w:b/>
          <w:sz w:val="22"/>
          <w:szCs w:val="22"/>
        </w:rPr>
      </w:pPr>
      <w:r w:rsidRPr="00372311">
        <w:rPr>
          <w:rFonts w:cs="Arial"/>
          <w:b/>
          <w:sz w:val="22"/>
          <w:szCs w:val="22"/>
        </w:rPr>
        <w:t>GAA Landshut, Gestütsstraß</w:t>
      </w:r>
      <w:r w:rsidRPr="00372311">
        <w:rPr>
          <w:rFonts w:cs="Arial"/>
          <w:b/>
          <w:sz w:val="22"/>
          <w:szCs w:val="22"/>
        </w:rPr>
        <w:t>e 10, 84028 Landshut, Tel.: 0871 808 - 01, Fax: 0871 808 - 1799</w:t>
      </w:r>
    </w:p>
    <w:p w:rsidR="00372311" w:rsidRPr="00372311" w:rsidRDefault="00372311" w:rsidP="00372311">
      <w:pPr>
        <w:rPr>
          <w:rFonts w:cs="Arial"/>
          <w:b/>
          <w:sz w:val="22"/>
          <w:szCs w:val="22"/>
        </w:rPr>
      </w:pPr>
    </w:p>
    <w:p w:rsidR="00372311" w:rsidRPr="00A75D96" w:rsidRDefault="005E3722" w:rsidP="00913C96">
      <w:pPr>
        <w:rPr>
          <w:rFonts w:eastAsiaTheme="minorHAnsi"/>
          <w:sz w:val="20"/>
        </w:rPr>
      </w:pPr>
      <w:r w:rsidRPr="00372311">
        <w:rPr>
          <w:rFonts w:cs="Arial"/>
          <w:b/>
          <w:sz w:val="22"/>
          <w:szCs w:val="22"/>
        </w:rPr>
        <w:t>E-Mail: poststelle@reg-nb.bayern.de      Interne</w:t>
      </w:r>
      <w:r w:rsidR="00913C96">
        <w:rPr>
          <w:rFonts w:cs="Arial"/>
          <w:b/>
          <w:sz w:val="22"/>
          <w:szCs w:val="22"/>
        </w:rPr>
        <w:t>t: www.gewerbeaufsicht.bayern.de</w:t>
      </w:r>
    </w:p>
    <w:sectPr w:rsidR="00372311" w:rsidRPr="00A75D96" w:rsidSect="00904131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3722">
      <w:r>
        <w:separator/>
      </w:r>
    </w:p>
  </w:endnote>
  <w:endnote w:type="continuationSeparator" w:id="0">
    <w:p w:rsidR="00000000" w:rsidRDefault="005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96" w:rsidRDefault="005E3722" w:rsidP="00913C96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Merkblatt zur Sicherheit in Gastronomiebetrieben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CD4B1B" w:rsidRDefault="005E3722" w:rsidP="00913C96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3722">
      <w:r>
        <w:separator/>
      </w:r>
    </w:p>
  </w:footnote>
  <w:footnote w:type="continuationSeparator" w:id="0">
    <w:p w:rsidR="00000000" w:rsidRDefault="005E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E33C36B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8D80FC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BEA4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2C39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2CBC8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E61E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C8E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5088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2A0B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81029B1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55C02560" w:tentative="1">
      <w:start w:val="1"/>
      <w:numFmt w:val="lowerLetter"/>
      <w:lvlText w:val="%2."/>
      <w:lvlJc w:val="left"/>
      <w:pPr>
        <w:ind w:left="1647" w:hanging="360"/>
      </w:pPr>
    </w:lvl>
    <w:lvl w:ilvl="2" w:tplc="338272F0" w:tentative="1">
      <w:start w:val="1"/>
      <w:numFmt w:val="lowerRoman"/>
      <w:lvlText w:val="%3."/>
      <w:lvlJc w:val="right"/>
      <w:pPr>
        <w:ind w:left="2367" w:hanging="180"/>
      </w:pPr>
    </w:lvl>
    <w:lvl w:ilvl="3" w:tplc="E62A8F98" w:tentative="1">
      <w:start w:val="1"/>
      <w:numFmt w:val="decimal"/>
      <w:lvlText w:val="%4."/>
      <w:lvlJc w:val="left"/>
      <w:pPr>
        <w:ind w:left="3087" w:hanging="360"/>
      </w:pPr>
    </w:lvl>
    <w:lvl w:ilvl="4" w:tplc="398ABDF8" w:tentative="1">
      <w:start w:val="1"/>
      <w:numFmt w:val="lowerLetter"/>
      <w:lvlText w:val="%5."/>
      <w:lvlJc w:val="left"/>
      <w:pPr>
        <w:ind w:left="3807" w:hanging="360"/>
      </w:pPr>
    </w:lvl>
    <w:lvl w:ilvl="5" w:tplc="69BA8280" w:tentative="1">
      <w:start w:val="1"/>
      <w:numFmt w:val="lowerRoman"/>
      <w:lvlText w:val="%6."/>
      <w:lvlJc w:val="right"/>
      <w:pPr>
        <w:ind w:left="4527" w:hanging="180"/>
      </w:pPr>
    </w:lvl>
    <w:lvl w:ilvl="6" w:tplc="DFB829B2" w:tentative="1">
      <w:start w:val="1"/>
      <w:numFmt w:val="decimal"/>
      <w:lvlText w:val="%7."/>
      <w:lvlJc w:val="left"/>
      <w:pPr>
        <w:ind w:left="5247" w:hanging="360"/>
      </w:pPr>
    </w:lvl>
    <w:lvl w:ilvl="7" w:tplc="E14CDAAC" w:tentative="1">
      <w:start w:val="1"/>
      <w:numFmt w:val="lowerLetter"/>
      <w:lvlText w:val="%8."/>
      <w:lvlJc w:val="left"/>
      <w:pPr>
        <w:ind w:left="5967" w:hanging="360"/>
      </w:pPr>
    </w:lvl>
    <w:lvl w:ilvl="8" w:tplc="A8AEADC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CE4262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2CF7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8F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6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418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01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80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64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9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e+bLCNWHH0RZe9lQnEFWE9EcOa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Merkblatt zur Sicherheit in Gastronomiebetrieben"/>
  </w:docVars>
  <w:rsids>
    <w:rsidRoot w:val="007F057E"/>
    <w:rsid w:val="0006566B"/>
    <w:rsid w:val="00075A48"/>
    <w:rsid w:val="000E4890"/>
    <w:rsid w:val="00357D3A"/>
    <w:rsid w:val="00372311"/>
    <w:rsid w:val="003E4BD1"/>
    <w:rsid w:val="00432A76"/>
    <w:rsid w:val="00460C95"/>
    <w:rsid w:val="00483D45"/>
    <w:rsid w:val="004932F5"/>
    <w:rsid w:val="004F02D6"/>
    <w:rsid w:val="004F785D"/>
    <w:rsid w:val="005678A4"/>
    <w:rsid w:val="00571542"/>
    <w:rsid w:val="005D7D92"/>
    <w:rsid w:val="005E3722"/>
    <w:rsid w:val="00617332"/>
    <w:rsid w:val="00636C87"/>
    <w:rsid w:val="00641717"/>
    <w:rsid w:val="00674DD4"/>
    <w:rsid w:val="00684CCB"/>
    <w:rsid w:val="00741A80"/>
    <w:rsid w:val="007F057E"/>
    <w:rsid w:val="00841C45"/>
    <w:rsid w:val="008C3CC9"/>
    <w:rsid w:val="008F4A63"/>
    <w:rsid w:val="00904131"/>
    <w:rsid w:val="009135EA"/>
    <w:rsid w:val="00913C96"/>
    <w:rsid w:val="0092062F"/>
    <w:rsid w:val="00927CDA"/>
    <w:rsid w:val="00974F68"/>
    <w:rsid w:val="009F37F1"/>
    <w:rsid w:val="00A75D96"/>
    <w:rsid w:val="00AE0894"/>
    <w:rsid w:val="00AF229D"/>
    <w:rsid w:val="00BD5C58"/>
    <w:rsid w:val="00BF3C1E"/>
    <w:rsid w:val="00C237B3"/>
    <w:rsid w:val="00C470CE"/>
    <w:rsid w:val="00CB0F1F"/>
    <w:rsid w:val="00CD4B1B"/>
    <w:rsid w:val="00D5328C"/>
    <w:rsid w:val="00DA6A91"/>
    <w:rsid w:val="00DB1246"/>
    <w:rsid w:val="00F0206D"/>
    <w:rsid w:val="00F221A4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6385A-4BA6-4790-B380-A64ED8C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72311"/>
    <w:pPr>
      <w:keepNext/>
      <w:overflowPunct/>
      <w:autoSpaceDE/>
      <w:autoSpaceDN/>
      <w:adjustRightInd/>
      <w:jc w:val="both"/>
      <w:textAlignment w:val="auto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372311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372311"/>
    <w:pPr>
      <w:overflowPunct/>
      <w:autoSpaceDE/>
      <w:autoSpaceDN/>
      <w:adjustRightInd/>
      <w:jc w:val="center"/>
      <w:textAlignment w:val="auto"/>
    </w:pPr>
    <w:rPr>
      <w:b/>
      <w:sz w:val="20"/>
    </w:rPr>
  </w:style>
  <w:style w:type="character" w:customStyle="1" w:styleId="TitelZchn">
    <w:name w:val="Titel Zchn"/>
    <w:basedOn w:val="Absatz-Standardschriftart"/>
    <w:link w:val="Titel"/>
    <w:rsid w:val="00372311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372311"/>
    <w:pPr>
      <w:overflowPunct/>
      <w:autoSpaceDE/>
      <w:autoSpaceDN/>
      <w:adjustRightInd/>
      <w:jc w:val="center"/>
      <w:textAlignment w:val="auto"/>
    </w:pPr>
    <w:rPr>
      <w:b/>
      <w:sz w:val="20"/>
    </w:rPr>
  </w:style>
  <w:style w:type="character" w:customStyle="1" w:styleId="UntertitelZchn">
    <w:name w:val="Untertitel Zchn"/>
    <w:basedOn w:val="Absatz-Standardschriftart"/>
    <w:link w:val="Untertitel"/>
    <w:rsid w:val="00372311"/>
    <w:rPr>
      <w:rFonts w:ascii="Arial" w:eastAsia="Times New Roman" w:hAnsi="Arial" w:cs="Times New Roman"/>
      <w:b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897E-E637-451B-AE8E-48B088E9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4936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2020-03-25T09:19:00Z</dcterms:created>
  <dcterms:modified xsi:type="dcterms:W3CDTF">2020-03-25T09:19:00Z</dcterms:modified>
</cp:coreProperties>
</file>