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954620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12258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97621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954620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5B533C" w:rsidRDefault="00954620" w:rsidP="005B533C">
      <w:pPr>
        <w:pStyle w:val="KeinLeerraum"/>
        <w:spacing w:line="276" w:lineRule="auto"/>
        <w:jc w:val="both"/>
        <w:rPr>
          <w:rStyle w:val="Fett"/>
          <w:rFonts w:ascii="Arial" w:hAnsi="Arial"/>
          <w:sz w:val="24"/>
          <w:szCs w:val="24"/>
        </w:rPr>
      </w:pPr>
      <w:r>
        <w:rPr>
          <w:rStyle w:val="Fett"/>
          <w:sz w:val="24"/>
          <w:szCs w:val="24"/>
          <w:u w:val="single"/>
        </w:rPr>
        <w:t>Anlage 1</w:t>
      </w:r>
      <w:r>
        <w:rPr>
          <w:rStyle w:val="Fett"/>
          <w:sz w:val="24"/>
          <w:szCs w:val="24"/>
        </w:rPr>
        <w:t xml:space="preserve"> zum Antrag auf Erteilung eines Zuganges zum Händlerportal des</w:t>
      </w:r>
    </w:p>
    <w:p w:rsidR="005B533C" w:rsidRDefault="00954620" w:rsidP="005B533C">
      <w:pPr>
        <w:pStyle w:val="KeinLeerraum"/>
        <w:spacing w:line="276" w:lineRule="auto"/>
        <w:jc w:val="both"/>
        <w:rPr>
          <w:rStyle w:val="Fett"/>
          <w:sz w:val="24"/>
          <w:szCs w:val="24"/>
        </w:rPr>
      </w:pPr>
      <w:r>
        <w:rPr>
          <w:rStyle w:val="Fett"/>
          <w:sz w:val="24"/>
          <w:szCs w:val="24"/>
        </w:rPr>
        <w:t>Nationalen Waffenregisters für Inhaber einer waffenrechtlichen</w:t>
      </w:r>
    </w:p>
    <w:p w:rsidR="005B533C" w:rsidRDefault="00954620" w:rsidP="005B533C">
      <w:pPr>
        <w:pStyle w:val="KeinLeerraum"/>
        <w:spacing w:line="276" w:lineRule="auto"/>
        <w:jc w:val="both"/>
        <w:rPr>
          <w:rStyle w:val="Fett"/>
          <w:sz w:val="24"/>
          <w:szCs w:val="24"/>
        </w:rPr>
      </w:pPr>
      <w:r>
        <w:rPr>
          <w:rStyle w:val="Fett"/>
          <w:sz w:val="24"/>
          <w:szCs w:val="24"/>
        </w:rPr>
        <w:t>Erlaubnis gemäß § 21 Absatz 1 WaffG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5B533C" w:rsidRDefault="00954620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Landratsamt Rottal-Inn</w:t>
      </w:r>
    </w:p>
    <w:p w:rsidR="00636C87" w:rsidRPr="00636C87" w:rsidRDefault="00954620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-SG 31 Waffenrecht</w:t>
      </w:r>
      <w:r w:rsidRPr="00636C87">
        <w:rPr>
          <w:rFonts w:eastAsiaTheme="minorHAnsi"/>
          <w:sz w:val="22"/>
          <w:szCs w:val="22"/>
        </w:rPr>
        <w:t>-</w:t>
      </w:r>
    </w:p>
    <w:p w:rsidR="00636C87" w:rsidRPr="00636C87" w:rsidRDefault="00954620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 xml:space="preserve">Ringstr. </w:t>
      </w:r>
      <w:r w:rsidRPr="00636C87">
        <w:rPr>
          <w:rFonts w:eastAsiaTheme="minorHAnsi"/>
          <w:sz w:val="22"/>
          <w:szCs w:val="22"/>
        </w:rPr>
        <w:t>4-7</w:t>
      </w:r>
    </w:p>
    <w:p w:rsidR="00636C87" w:rsidRDefault="00954620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5B533C" w:rsidRDefault="005B533C" w:rsidP="005B533C">
      <w:pPr>
        <w:spacing w:line="276" w:lineRule="auto"/>
        <w:jc w:val="both"/>
      </w:pPr>
    </w:p>
    <w:p w:rsidR="005B533C" w:rsidRDefault="00954620" w:rsidP="006E00E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Das geänderte Waffengesetz (WaffG) und das neue Waffenregistergesetz (WaffRG) treten am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01. September 2020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in Kraft. Ab diesem Zeitpunkt haben die Inhaber einer Erlaubnis nach § 21 Absatz 1 Satz 1 WaffG, d. h. Waffenhersteller und Waffenhändler, zur Erfüllung ihrer elektronischen Anzeigepflichten (§§ 37, 37b, 37c Absatz 2 und § 37d WaffG), das von den Waffenbeh</w:t>
      </w:r>
      <w:r>
        <w:rPr>
          <w:color w:val="000000"/>
          <w:szCs w:val="24"/>
        </w:rPr>
        <w:t xml:space="preserve">örden bereitgestellte automatisierte Fachverfahren der Kopfstelle zu nutzen (§ 9 WaffRG). </w:t>
      </w:r>
    </w:p>
    <w:p w:rsidR="005B533C" w:rsidRDefault="00954620" w:rsidP="006E00E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Die Nutzung dieses Fachverfahrens setzt die vorherige Registrierung der Waffenhersteller und Waffenhändler bei der zuständigen Waffenbehörde voraus. Eine Registrieru</w:t>
      </w:r>
      <w:r>
        <w:rPr>
          <w:color w:val="000000"/>
          <w:szCs w:val="24"/>
        </w:rPr>
        <w:t xml:space="preserve">ngspflicht besteht erst mit dem Inkrafttreten des WaffRG (siehe auch § 2a Waffenregistergesetz-Durchführungsverordnung – WaffRGDV). Somit fallen Registrierungs- und Anzeigepflichten zeitlich zusammen. </w:t>
      </w:r>
    </w:p>
    <w:p w:rsidR="005B533C" w:rsidRDefault="00954620" w:rsidP="006E00E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Die Waffenhersteller und Waffenhändler können sich </w:t>
      </w:r>
      <w:r>
        <w:rPr>
          <w:color w:val="000000"/>
          <w:szCs w:val="24"/>
          <w:u w:val="single"/>
        </w:rPr>
        <w:t>sch</w:t>
      </w:r>
      <w:r>
        <w:rPr>
          <w:color w:val="000000"/>
          <w:szCs w:val="24"/>
          <w:u w:val="single"/>
        </w:rPr>
        <w:t>on jetzt</w:t>
      </w:r>
      <w:r>
        <w:rPr>
          <w:color w:val="000000"/>
          <w:szCs w:val="24"/>
        </w:rPr>
        <w:t xml:space="preserve"> auf freiwilliger Basis registrieren lassen, um mit Inkrafttreten des WaffRG ihren gesetzlichen Anzeigepflichten nachkommen zu können. Dazu benötigt die Kopfstelle die Einwilligung zur Verarbeitung der personenbezogenen Daten (Art. 6 lit. a DSGVO i</w:t>
      </w:r>
      <w:r>
        <w:rPr>
          <w:color w:val="000000"/>
          <w:szCs w:val="24"/>
        </w:rPr>
        <w:t xml:space="preserve">.V.m. §§ 6, 7 WaffRG). </w:t>
      </w:r>
    </w:p>
    <w:p w:rsidR="005B533C" w:rsidRDefault="005B533C" w:rsidP="006E00E1">
      <w:pPr>
        <w:spacing w:line="276" w:lineRule="auto"/>
        <w:rPr>
          <w:color w:val="000000"/>
          <w:szCs w:val="24"/>
        </w:rPr>
      </w:pPr>
    </w:p>
    <w:p w:rsidR="005B533C" w:rsidRDefault="00954620" w:rsidP="006E00E1">
      <w:pPr>
        <w:spacing w:line="276" w:lineRule="auto"/>
        <w:ind w:left="426" w:hanging="426"/>
        <w:rPr>
          <w:szCs w:val="24"/>
        </w:rPr>
      </w:pPr>
      <w:sdt>
        <w:sdtPr>
          <w:rPr>
            <w:szCs w:val="24"/>
          </w:rPr>
          <w:id w:val="169664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   </w:t>
      </w:r>
      <w:r>
        <w:rPr>
          <w:color w:val="000000"/>
          <w:szCs w:val="24"/>
        </w:rPr>
        <w:t xml:space="preserve">Die Einwilligung erfolgt auf freiwilliger Basis und kann jederzeit mit Wirkung für die Zukunft widerrufen werden. Ab Zugang der Widerrufserklärung dürfen meine personenbezogenen Daten nicht weiterverarbeitet </w:t>
      </w:r>
      <w:r>
        <w:rPr>
          <w:color w:val="000000"/>
          <w:szCs w:val="24"/>
        </w:rPr>
        <w:t>werden. Sie sind unverzüglich zu löschen. Durch den Widerruf der Einwilligung wird die Rechtmäßigkeit der bis dahin erfolgten Verarbeitung nicht berührt. D</w:t>
      </w:r>
      <w:r w:rsidR="0051375B">
        <w:rPr>
          <w:color w:val="000000"/>
          <w:szCs w:val="24"/>
        </w:rPr>
        <w:t xml:space="preserve">ie Widerrufserklärung kann ich schriftlich an das Landratsamt Rottal-Inn, SG 31-Waffenrecht, Ringstr. 4-7, 84347 Pfarrkirchen </w:t>
      </w:r>
      <w:r>
        <w:rPr>
          <w:color w:val="000000"/>
          <w:szCs w:val="24"/>
        </w:rPr>
        <w:t>richten.</w:t>
      </w:r>
    </w:p>
    <w:p w:rsidR="005B533C" w:rsidRDefault="005B533C" w:rsidP="006E00E1">
      <w:pPr>
        <w:spacing w:line="276" w:lineRule="auto"/>
        <w:ind w:left="426" w:hanging="426"/>
        <w:rPr>
          <w:szCs w:val="24"/>
        </w:rPr>
      </w:pPr>
    </w:p>
    <w:p w:rsidR="005B533C" w:rsidRDefault="00954620" w:rsidP="006E00E1">
      <w:pPr>
        <w:spacing w:line="276" w:lineRule="auto"/>
        <w:rPr>
          <w:szCs w:val="24"/>
        </w:rPr>
      </w:pPr>
      <w:r>
        <w:rPr>
          <w:szCs w:val="24"/>
        </w:rPr>
        <w:t>Mit Inkrafttreten des WaffRG ergibt sich die Rechtmäßigkeit der Verarbeitung personenbezogener Daten aus Art. 6 Abs. 1 lit. e) DSGVO i.V.m. §§ 6, 7 WaffRG.</w:t>
      </w:r>
    </w:p>
    <w:p w:rsidR="005B533C" w:rsidRDefault="005B533C" w:rsidP="006E00E1">
      <w:pPr>
        <w:spacing w:line="276" w:lineRule="auto"/>
        <w:rPr>
          <w:szCs w:val="24"/>
        </w:rPr>
      </w:pPr>
    </w:p>
    <w:p w:rsidR="005B533C" w:rsidRDefault="005B533C" w:rsidP="006E00E1">
      <w:pPr>
        <w:spacing w:line="276" w:lineRule="auto"/>
        <w:rPr>
          <w:szCs w:val="24"/>
        </w:rPr>
      </w:pPr>
    </w:p>
    <w:sdt>
      <w:sdtPr>
        <w:rPr>
          <w:szCs w:val="24"/>
        </w:rPr>
        <w:id w:val="-39595995"/>
        <w:placeholder>
          <w:docPart w:val="DefaultPlaceholder_-1854013440"/>
        </w:placeholder>
      </w:sdtPr>
      <w:sdtEndPr/>
      <w:sdtContent>
        <w:bookmarkStart w:id="0" w:name="_GoBack" w:displacedByCustomXml="prev"/>
        <w:p w:rsidR="005B533C" w:rsidRDefault="00954620" w:rsidP="005B533C">
          <w:pPr>
            <w:spacing w:line="276" w:lineRule="auto"/>
            <w:jc w:val="both"/>
            <w:rPr>
              <w:szCs w:val="24"/>
            </w:rPr>
          </w:pPr>
          <w:r>
            <w:rPr>
              <w:szCs w:val="24"/>
            </w:rPr>
            <w:t xml:space="preserve">                                         </w:t>
          </w:r>
        </w:p>
        <w:bookmarkEnd w:id="0" w:displacedByCustomXml="next"/>
      </w:sdtContent>
    </w:sdt>
    <w:p w:rsidR="005B533C" w:rsidRDefault="00954620" w:rsidP="005B533C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</w:t>
      </w:r>
      <w:r>
        <w:rPr>
          <w:szCs w:val="24"/>
        </w:rPr>
        <w:t>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_______________________</w:t>
      </w:r>
    </w:p>
    <w:p w:rsidR="005B533C" w:rsidRDefault="00954620" w:rsidP="005B533C">
      <w:pPr>
        <w:spacing w:line="276" w:lineRule="auto"/>
        <w:jc w:val="both"/>
        <w:rPr>
          <w:szCs w:val="24"/>
        </w:rPr>
      </w:pPr>
      <w:r>
        <w:rPr>
          <w:szCs w:val="24"/>
        </w:rPr>
        <w:t>Ort, Datum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Unterschrift Antragsteller</w:t>
      </w:r>
    </w:p>
    <w:p w:rsidR="005B533C" w:rsidRDefault="005B533C" w:rsidP="005B533C">
      <w:pPr>
        <w:spacing w:line="276" w:lineRule="auto"/>
        <w:rPr>
          <w:szCs w:val="24"/>
        </w:rPr>
      </w:pPr>
    </w:p>
    <w:p w:rsidR="00741A80" w:rsidRPr="00AA7092" w:rsidRDefault="00954620" w:rsidP="00904131">
      <w:pPr>
        <w:spacing w:before="1"/>
        <w:rPr>
          <w:rFonts w:eastAsiaTheme="minorHAnsi"/>
          <w:sz w:val="22"/>
          <w:szCs w:val="22"/>
        </w:rPr>
      </w:pPr>
      <w:r>
        <w:rPr>
          <w:b/>
          <w:sz w:val="22"/>
          <w:szCs w:val="22"/>
        </w:rPr>
        <w:t xml:space="preserve">Informationen zum Datenschutz finden Sie unter </w:t>
      </w:r>
      <w:hyperlink r:id="rId10" w:history="1">
        <w:r w:rsidRPr="003D4686">
          <w:rPr>
            <w:rStyle w:val="Hyperlink"/>
            <w:b/>
            <w:sz w:val="22"/>
            <w:szCs w:val="22"/>
          </w:rPr>
          <w:t>www.rottal-inn.de/datenschutz</w:t>
        </w:r>
      </w:hyperlink>
      <w:r>
        <w:rPr>
          <w:b/>
          <w:sz w:val="22"/>
          <w:szCs w:val="22"/>
        </w:rPr>
        <w:t xml:space="preserve"> </w:t>
      </w:r>
    </w:p>
    <w:sectPr w:rsidR="00741A80" w:rsidRPr="00AA7092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4620">
      <w:r>
        <w:separator/>
      </w:r>
    </w:p>
  </w:endnote>
  <w:endnote w:type="continuationSeparator" w:id="0">
    <w:p w:rsidR="00000000" w:rsidRDefault="0095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F1" w:rsidRDefault="00954620" w:rsidP="004C55F1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Einwilligungserklärung Zugang Händlerportal NWR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4C55F1" w:rsidRDefault="00954620" w:rsidP="004C55F1">
    <w:pPr>
      <w:tabs>
        <w:tab w:val="center" w:pos="4678"/>
        <w:tab w:val="left" w:pos="7655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4620">
      <w:r>
        <w:separator/>
      </w:r>
    </w:p>
  </w:footnote>
  <w:footnote w:type="continuationSeparator" w:id="0">
    <w:p w:rsidR="00000000" w:rsidRDefault="0095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624A4C6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7728C8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669B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3A6C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220B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E2B3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4259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0651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C835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BA8C3B4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F178288C" w:tentative="1">
      <w:start w:val="1"/>
      <w:numFmt w:val="lowerLetter"/>
      <w:lvlText w:val="%2."/>
      <w:lvlJc w:val="left"/>
      <w:pPr>
        <w:ind w:left="1647" w:hanging="360"/>
      </w:pPr>
    </w:lvl>
    <w:lvl w:ilvl="2" w:tplc="DAEA062C" w:tentative="1">
      <w:start w:val="1"/>
      <w:numFmt w:val="lowerRoman"/>
      <w:lvlText w:val="%3."/>
      <w:lvlJc w:val="right"/>
      <w:pPr>
        <w:ind w:left="2367" w:hanging="180"/>
      </w:pPr>
    </w:lvl>
    <w:lvl w:ilvl="3" w:tplc="1056F98E" w:tentative="1">
      <w:start w:val="1"/>
      <w:numFmt w:val="decimal"/>
      <w:lvlText w:val="%4."/>
      <w:lvlJc w:val="left"/>
      <w:pPr>
        <w:ind w:left="3087" w:hanging="360"/>
      </w:pPr>
    </w:lvl>
    <w:lvl w:ilvl="4" w:tplc="89AE5A50" w:tentative="1">
      <w:start w:val="1"/>
      <w:numFmt w:val="lowerLetter"/>
      <w:lvlText w:val="%5."/>
      <w:lvlJc w:val="left"/>
      <w:pPr>
        <w:ind w:left="3807" w:hanging="360"/>
      </w:pPr>
    </w:lvl>
    <w:lvl w:ilvl="5" w:tplc="3A261DDC" w:tentative="1">
      <w:start w:val="1"/>
      <w:numFmt w:val="lowerRoman"/>
      <w:lvlText w:val="%6."/>
      <w:lvlJc w:val="right"/>
      <w:pPr>
        <w:ind w:left="4527" w:hanging="180"/>
      </w:pPr>
    </w:lvl>
    <w:lvl w:ilvl="6" w:tplc="CE308EF4" w:tentative="1">
      <w:start w:val="1"/>
      <w:numFmt w:val="decimal"/>
      <w:lvlText w:val="%7."/>
      <w:lvlJc w:val="left"/>
      <w:pPr>
        <w:ind w:left="5247" w:hanging="360"/>
      </w:pPr>
    </w:lvl>
    <w:lvl w:ilvl="7" w:tplc="9C6EC450" w:tentative="1">
      <w:start w:val="1"/>
      <w:numFmt w:val="lowerLetter"/>
      <w:lvlText w:val="%8."/>
      <w:lvlJc w:val="left"/>
      <w:pPr>
        <w:ind w:left="5967" w:hanging="360"/>
      </w:pPr>
    </w:lvl>
    <w:lvl w:ilvl="8" w:tplc="D08E53E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E25C7F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A0EB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2C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47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42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09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0E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A9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0C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y8qX+8lwmG00x2Q6XXPKVQvzdy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Einwilligungserklärung Zugang Händlerportal NWR"/>
  </w:docVars>
  <w:rsids>
    <w:rsidRoot w:val="007F057E"/>
    <w:rsid w:val="000208B7"/>
    <w:rsid w:val="0006566B"/>
    <w:rsid w:val="00075A48"/>
    <w:rsid w:val="000E4890"/>
    <w:rsid w:val="003D4686"/>
    <w:rsid w:val="003E4BD1"/>
    <w:rsid w:val="003F5EC7"/>
    <w:rsid w:val="00432A76"/>
    <w:rsid w:val="00460C95"/>
    <w:rsid w:val="00483D45"/>
    <w:rsid w:val="004932F5"/>
    <w:rsid w:val="004C55F1"/>
    <w:rsid w:val="004F785D"/>
    <w:rsid w:val="0051375B"/>
    <w:rsid w:val="005204B9"/>
    <w:rsid w:val="005678A4"/>
    <w:rsid w:val="00571542"/>
    <w:rsid w:val="005B533C"/>
    <w:rsid w:val="005D7D92"/>
    <w:rsid w:val="00617332"/>
    <w:rsid w:val="00636C87"/>
    <w:rsid w:val="00641717"/>
    <w:rsid w:val="00674DD4"/>
    <w:rsid w:val="00684CCB"/>
    <w:rsid w:val="006E00E1"/>
    <w:rsid w:val="00741A80"/>
    <w:rsid w:val="0074539D"/>
    <w:rsid w:val="0076631B"/>
    <w:rsid w:val="007F057E"/>
    <w:rsid w:val="00841C45"/>
    <w:rsid w:val="008C3CC9"/>
    <w:rsid w:val="008F4A63"/>
    <w:rsid w:val="00904131"/>
    <w:rsid w:val="0092062F"/>
    <w:rsid w:val="00927CDA"/>
    <w:rsid w:val="00954620"/>
    <w:rsid w:val="00954658"/>
    <w:rsid w:val="00974F68"/>
    <w:rsid w:val="009F37F1"/>
    <w:rsid w:val="00A75D96"/>
    <w:rsid w:val="00AA7092"/>
    <w:rsid w:val="00AE0894"/>
    <w:rsid w:val="00BD5C58"/>
    <w:rsid w:val="00BF3C1E"/>
    <w:rsid w:val="00C2086A"/>
    <w:rsid w:val="00C470CE"/>
    <w:rsid w:val="00CB0F1F"/>
    <w:rsid w:val="00CD4B1B"/>
    <w:rsid w:val="00D5328C"/>
    <w:rsid w:val="00DA6A91"/>
    <w:rsid w:val="00DB1246"/>
    <w:rsid w:val="00DD75A7"/>
    <w:rsid w:val="00EF3880"/>
    <w:rsid w:val="00F0206D"/>
    <w:rsid w:val="00F56D40"/>
    <w:rsid w:val="00F56FA6"/>
    <w:rsid w:val="00FB2E7F"/>
    <w:rsid w:val="00FC0970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5B533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A7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76771-8F8D-4145-9A37-D97AF7361016}"/>
      </w:docPartPr>
      <w:docPartBody>
        <w:p w:rsidR="005204B9" w:rsidRDefault="00BE5235">
          <w:r w:rsidRPr="0095465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49"/>
    <w:rsid w:val="00040237"/>
    <w:rsid w:val="003C3149"/>
    <w:rsid w:val="003E29B2"/>
    <w:rsid w:val="00417704"/>
    <w:rsid w:val="005204B9"/>
    <w:rsid w:val="00BE5235"/>
    <w:rsid w:val="00D377EA"/>
    <w:rsid w:val="00E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31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0128-B55D-422F-B258-B9079A30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2022-05-10T19:44:00Z</dcterms:created>
  <dcterms:modified xsi:type="dcterms:W3CDTF">2022-05-10T19:44:00Z</dcterms:modified>
</cp:coreProperties>
</file>