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D3" w:rsidRDefault="00F4131B" w:rsidP="004779D3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548640" cy="716280"/>
            <wp:effectExtent l="0" t="0" r="381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00635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10795</wp:posOffset>
            </wp:positionV>
            <wp:extent cx="74485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0992" y="21237"/>
                <wp:lineTo x="2099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548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4779D3" w:rsidRDefault="00F4131B" w:rsidP="004779D3">
      <w:pPr>
        <w:pStyle w:val="Kopfzeile"/>
      </w:pPr>
      <w:r>
        <w:rPr>
          <w:sz w:val="48"/>
          <w:szCs w:val="48"/>
        </w:rPr>
        <w:t xml:space="preserve">            Landratsamt Rottal–Inn</w:t>
      </w:r>
    </w:p>
    <w:p w:rsidR="004779D3" w:rsidRDefault="004779D3" w:rsidP="00595D8C">
      <w:pPr>
        <w:jc w:val="center"/>
        <w:rPr>
          <w:rFonts w:ascii="Arial" w:hAnsi="Arial" w:cs="Arial"/>
          <w:b/>
        </w:rPr>
      </w:pPr>
    </w:p>
    <w:p w:rsidR="00595D8C" w:rsidRDefault="00F4131B" w:rsidP="00DD248C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Biber – Entnahme - Fallenbetreuung</w:t>
      </w:r>
    </w:p>
    <w:p w:rsidR="00595D8C" w:rsidRDefault="00F4131B" w:rsidP="00DD248C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„Belehrung Fallenbetreuer“</w:t>
      </w:r>
    </w:p>
    <w:p w:rsidR="005754DC" w:rsidRPr="00900017" w:rsidRDefault="005754DC" w:rsidP="000D7C7B">
      <w:pPr>
        <w:spacing w:after="0"/>
        <w:jc w:val="center"/>
        <w:rPr>
          <w:sz w:val="16"/>
        </w:rPr>
      </w:pPr>
    </w:p>
    <w:tbl>
      <w:tblPr>
        <w:tblStyle w:val="Tabellenraster"/>
        <w:tblW w:w="9020" w:type="dxa"/>
        <w:tblLook w:val="04A0" w:firstRow="1" w:lastRow="0" w:firstColumn="1" w:lastColumn="0" w:noHBand="0" w:noVBand="1"/>
      </w:tblPr>
      <w:tblGrid>
        <w:gridCol w:w="5524"/>
        <w:gridCol w:w="3260"/>
        <w:gridCol w:w="236"/>
      </w:tblGrid>
      <w:tr w:rsidR="00BB4DA1" w:rsidTr="00900017">
        <w:trPr>
          <w:trHeight w:val="314"/>
        </w:trPr>
        <w:tc>
          <w:tcPr>
            <w:tcW w:w="9020" w:type="dxa"/>
            <w:gridSpan w:val="3"/>
            <w:shd w:val="clear" w:color="auto" w:fill="BFBFBF" w:themeFill="background1" w:themeFillShade="BF"/>
            <w:vAlign w:val="center"/>
          </w:tcPr>
          <w:p w:rsidR="00595D8C" w:rsidRPr="0099128B" w:rsidRDefault="00F4131B" w:rsidP="00DC3A26">
            <w:pPr>
              <w:rPr>
                <w:rFonts w:ascii="Arial" w:hAnsi="Arial" w:cs="Arial"/>
                <w:b/>
              </w:rPr>
            </w:pPr>
            <w:r w:rsidRPr="00D673E8">
              <w:rPr>
                <w:rFonts w:ascii="Arial" w:hAnsi="Arial" w:cs="Arial"/>
                <w:b/>
                <w:sz w:val="20"/>
              </w:rPr>
              <w:t>1. Angaben zur Person</w:t>
            </w:r>
          </w:p>
        </w:tc>
      </w:tr>
      <w:tr w:rsidR="00BB4DA1" w:rsidTr="00E81129">
        <w:trPr>
          <w:trHeight w:val="340"/>
        </w:trPr>
        <w:tc>
          <w:tcPr>
            <w:tcW w:w="552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95D8C" w:rsidRDefault="00F4131B" w:rsidP="00D673E8">
            <w:pPr>
              <w:rPr>
                <w:rFonts w:ascii="Arial" w:hAnsi="Arial" w:cs="Arial"/>
              </w:rPr>
            </w:pPr>
            <w:r w:rsidRPr="003E182A">
              <w:rPr>
                <w:rFonts w:ascii="Arial" w:hAnsi="Arial" w:cs="Arial"/>
                <w:sz w:val="20"/>
              </w:rPr>
              <w:t xml:space="preserve">Fallenbetreuer </w:t>
            </w:r>
            <w:r w:rsidRPr="00D673E8">
              <w:rPr>
                <w:rFonts w:ascii="Arial" w:hAnsi="Arial" w:cs="Arial"/>
                <w:sz w:val="20"/>
              </w:rPr>
              <w:t>(Vor- und Nachname in Druckbuchstaben)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sdt>
            <w:sdtPr>
              <w:rPr>
                <w:rFonts w:ascii="Arial" w:hAnsi="Arial" w:cs="Arial"/>
              </w:rPr>
              <w:id w:val="1567996916"/>
              <w:placeholder>
                <w:docPart w:val="DefaultPlaceholder_-1854013440"/>
              </w:placeholder>
            </w:sdtPr>
            <w:sdtEndPr/>
            <w:sdtContent>
              <w:p w:rsidR="00595D8C" w:rsidRDefault="00F4131B" w:rsidP="00DC3A2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0" w:name="Text2"/>
                <w:r>
                  <w:rPr>
                    <w:rFonts w:ascii="Arial" w:hAnsi="Arial" w:cs="Arial"/>
                  </w:rPr>
                  <w:instrText xml:space="preserve"> FORMTEXT </w:instrText>
                </w:r>
                <w:r>
                  <w:rPr>
                    <w:rFonts w:ascii="Arial" w:hAnsi="Arial" w:cs="Arial"/>
                  </w:rPr>
                </w:r>
                <w:r>
                  <w:rPr>
                    <w:rFonts w:ascii="Arial" w:hAnsi="Arial" w:cs="Arial"/>
                  </w:rPr>
                  <w:fldChar w:fldCharType="separate"/>
                </w:r>
                <w:bookmarkStart w:id="1" w:name="_GoBack"/>
                <w:bookmarkEnd w:id="1"/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sdtContent>
          </w:sdt>
        </w:tc>
        <w:bookmarkEnd w:id="0"/>
        <w:tc>
          <w:tcPr>
            <w:tcW w:w="236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595D8C" w:rsidRDefault="00595D8C" w:rsidP="00DC3A26">
            <w:pPr>
              <w:rPr>
                <w:rFonts w:ascii="Arial" w:hAnsi="Arial" w:cs="Arial"/>
              </w:rPr>
            </w:pPr>
          </w:p>
        </w:tc>
      </w:tr>
      <w:tr w:rsidR="00BB4DA1" w:rsidTr="00E81129">
        <w:trPr>
          <w:trHeight w:val="70"/>
        </w:trPr>
        <w:tc>
          <w:tcPr>
            <w:tcW w:w="552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95D8C" w:rsidRPr="00BF5DFE" w:rsidRDefault="00595D8C" w:rsidP="00DC3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595D8C" w:rsidRPr="00BF5DFE" w:rsidRDefault="00595D8C" w:rsidP="00DC3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595D8C" w:rsidRPr="00BF5DFE" w:rsidRDefault="00595D8C" w:rsidP="00DC3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95D8C" w:rsidRPr="00E81129" w:rsidRDefault="00595D8C" w:rsidP="000D7C7B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DA1" w:rsidTr="00E81129">
        <w:trPr>
          <w:trHeight w:val="262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:rsidR="00595D8C" w:rsidRPr="008701D2" w:rsidRDefault="00F4131B" w:rsidP="00DC3A26">
            <w:pPr>
              <w:rPr>
                <w:rFonts w:ascii="Arial" w:hAnsi="Arial" w:cs="Arial"/>
                <w:b/>
              </w:rPr>
            </w:pPr>
            <w:r w:rsidRPr="000D7C7B">
              <w:rPr>
                <w:rFonts w:ascii="Arial" w:hAnsi="Arial" w:cs="Arial"/>
                <w:b/>
                <w:sz w:val="20"/>
              </w:rPr>
              <w:t>2. Aufklärungshinweise</w:t>
            </w:r>
          </w:p>
        </w:tc>
      </w:tr>
      <w:tr w:rsidR="00BB4DA1" w:rsidTr="00DC3A26">
        <w:trPr>
          <w:trHeight w:val="2762"/>
        </w:trPr>
        <w:tc>
          <w:tcPr>
            <w:tcW w:w="9062" w:type="dxa"/>
          </w:tcPr>
          <w:p w:rsidR="00595D8C" w:rsidRPr="003E182A" w:rsidRDefault="00595D8C" w:rsidP="00DC3A26">
            <w:pPr>
              <w:rPr>
                <w:rFonts w:ascii="Arial" w:hAnsi="Arial" w:cs="Arial"/>
                <w:sz w:val="16"/>
              </w:rPr>
            </w:pPr>
          </w:p>
          <w:p w:rsidR="000D7C7B" w:rsidRPr="003E182A" w:rsidRDefault="00F4131B" w:rsidP="00470E00">
            <w:pPr>
              <w:rPr>
                <w:rFonts w:ascii="Arial" w:hAnsi="Arial" w:cs="Arial"/>
                <w:sz w:val="20"/>
              </w:rPr>
            </w:pPr>
            <w:r w:rsidRPr="003E182A">
              <w:rPr>
                <w:rFonts w:ascii="Arial" w:hAnsi="Arial" w:cs="Arial"/>
                <w:sz w:val="20"/>
              </w:rPr>
              <w:t>Die Erteilung einer Ausnahmegenehmigung für den Zugriff auf Biber entbindet nicht von der Einhaltung tierschutzrechtlicher Bestimmungen, insbesondere da der Biber</w:t>
            </w:r>
            <w:r w:rsidRPr="003E182A">
              <w:rPr>
                <w:rFonts w:ascii="Arial" w:hAnsi="Arial" w:cs="Arial"/>
                <w:sz w:val="20"/>
              </w:rPr>
              <w:t xml:space="preserve"> nach Artenschutzrecht ein Tier im höchsten Schutzstatus ist. Es ist deshalb sicherzustellen, dass einem in der Falle gefangenen Biber ohne vernünftigen Grund keine Schmerzen, Leiden oder Schäden zugefügt werden.</w:t>
            </w:r>
          </w:p>
          <w:p w:rsidR="000D7C7B" w:rsidRPr="00470E00" w:rsidRDefault="000D7C7B" w:rsidP="00470E00">
            <w:pPr>
              <w:rPr>
                <w:rFonts w:ascii="Arial" w:hAnsi="Arial" w:cs="Arial"/>
                <w:sz w:val="14"/>
              </w:rPr>
            </w:pPr>
          </w:p>
          <w:p w:rsidR="000D7C7B" w:rsidRPr="003E182A" w:rsidRDefault="00F4131B" w:rsidP="00470E00">
            <w:pPr>
              <w:rPr>
                <w:rFonts w:ascii="Arial" w:hAnsi="Arial" w:cs="Arial"/>
                <w:sz w:val="20"/>
                <w:u w:val="single"/>
              </w:rPr>
            </w:pPr>
            <w:r w:rsidRPr="003E182A">
              <w:rPr>
                <w:rFonts w:ascii="Arial" w:hAnsi="Arial" w:cs="Arial"/>
                <w:sz w:val="20"/>
                <w:u w:val="single"/>
              </w:rPr>
              <w:t>Folgendes ist zwingend zu beachten:</w:t>
            </w:r>
          </w:p>
          <w:p w:rsidR="000D7C7B" w:rsidRPr="003E182A" w:rsidRDefault="00F4131B" w:rsidP="00470E00">
            <w:pPr>
              <w:rPr>
                <w:rFonts w:ascii="Arial" w:hAnsi="Arial" w:cs="Arial"/>
                <w:sz w:val="20"/>
              </w:rPr>
            </w:pPr>
            <w:r w:rsidRPr="003E182A">
              <w:rPr>
                <w:rFonts w:ascii="Arial" w:hAnsi="Arial" w:cs="Arial"/>
                <w:sz w:val="20"/>
              </w:rPr>
              <w:t>Die au</w:t>
            </w:r>
            <w:r w:rsidRPr="003E182A">
              <w:rPr>
                <w:rFonts w:ascii="Arial" w:hAnsi="Arial" w:cs="Arial"/>
                <w:sz w:val="20"/>
              </w:rPr>
              <w:t xml:space="preserve">fgestellten Fallen sind im Grundsatz </w:t>
            </w:r>
            <w:r w:rsidRPr="003E182A">
              <w:rPr>
                <w:rFonts w:ascii="Arial" w:hAnsi="Arial" w:cs="Arial"/>
                <w:b/>
                <w:sz w:val="20"/>
              </w:rPr>
              <w:t>mindestens einmal täglich zu kontrollieren</w:t>
            </w:r>
            <w:r w:rsidRPr="003E182A">
              <w:rPr>
                <w:rFonts w:ascii="Arial" w:hAnsi="Arial" w:cs="Arial"/>
                <w:sz w:val="20"/>
              </w:rPr>
              <w:t xml:space="preserve"> und zwar </w:t>
            </w:r>
            <w:r w:rsidRPr="003E182A">
              <w:rPr>
                <w:rFonts w:ascii="Arial" w:hAnsi="Arial" w:cs="Arial"/>
                <w:b/>
                <w:sz w:val="20"/>
              </w:rPr>
              <w:t>morgens, spätestens eine Stunde nach Sonnenaufgang</w:t>
            </w:r>
            <w:r w:rsidRPr="003E182A">
              <w:rPr>
                <w:rFonts w:ascii="Arial" w:hAnsi="Arial" w:cs="Arial"/>
                <w:sz w:val="20"/>
              </w:rPr>
              <w:t xml:space="preserve">. In Wintermonaten mit lang anhaltenden tiefen Temperaturen </w:t>
            </w:r>
            <w:r w:rsidRPr="003E182A">
              <w:rPr>
                <w:rFonts w:ascii="Arial" w:hAnsi="Arial" w:cs="Arial"/>
                <w:sz w:val="20"/>
                <w:u w:val="single"/>
              </w:rPr>
              <w:t>von unter 0</w:t>
            </w:r>
            <w:r w:rsidRPr="003E182A">
              <w:rPr>
                <w:rFonts w:ascii="Arial" w:hAnsi="Arial" w:cs="Arial"/>
                <w:sz w:val="20"/>
              </w:rPr>
              <w:t>° C oder zu Beginn der Saison bei höheren Temp</w:t>
            </w:r>
            <w:r w:rsidRPr="003E182A">
              <w:rPr>
                <w:rFonts w:ascii="Arial" w:hAnsi="Arial" w:cs="Arial"/>
                <w:sz w:val="20"/>
              </w:rPr>
              <w:t xml:space="preserve">eraturen z.B. im September (über 20° C ) ist der Fallenfang </w:t>
            </w:r>
            <w:r w:rsidRPr="003E182A">
              <w:rPr>
                <w:rFonts w:ascii="Arial" w:hAnsi="Arial" w:cs="Arial"/>
                <w:sz w:val="20"/>
                <w:u w:val="single"/>
              </w:rPr>
              <w:t>nur dann zulässig</w:t>
            </w:r>
            <w:r w:rsidRPr="003E182A">
              <w:rPr>
                <w:rFonts w:ascii="Arial" w:hAnsi="Arial" w:cs="Arial"/>
                <w:sz w:val="20"/>
              </w:rPr>
              <w:t xml:space="preserve">, wenn eine </w:t>
            </w:r>
            <w:r w:rsidRPr="003E182A">
              <w:rPr>
                <w:rFonts w:ascii="Arial" w:hAnsi="Arial" w:cs="Arial"/>
                <w:b/>
                <w:sz w:val="20"/>
              </w:rPr>
              <w:t>mehrmalige tägliche</w:t>
            </w:r>
            <w:r w:rsidRPr="003E182A">
              <w:rPr>
                <w:rFonts w:ascii="Arial" w:hAnsi="Arial" w:cs="Arial"/>
                <w:sz w:val="20"/>
              </w:rPr>
              <w:t xml:space="preserve"> Kontrolle der Fallen sowie der kurzfristige Abtransport der gefangenen Tiere gesichert sind. </w:t>
            </w:r>
          </w:p>
          <w:p w:rsidR="000D7C7B" w:rsidRPr="00470E00" w:rsidRDefault="000D7C7B" w:rsidP="00470E00">
            <w:pPr>
              <w:rPr>
                <w:rFonts w:ascii="Arial" w:hAnsi="Arial" w:cs="Arial"/>
                <w:sz w:val="14"/>
              </w:rPr>
            </w:pPr>
          </w:p>
          <w:p w:rsidR="000D7C7B" w:rsidRPr="003E182A" w:rsidRDefault="00F4131B" w:rsidP="00470E00">
            <w:pPr>
              <w:rPr>
                <w:rFonts w:ascii="Arial" w:hAnsi="Arial" w:cs="Arial"/>
                <w:sz w:val="20"/>
              </w:rPr>
            </w:pPr>
            <w:r w:rsidRPr="003E182A">
              <w:rPr>
                <w:rFonts w:ascii="Arial" w:hAnsi="Arial" w:cs="Arial"/>
                <w:sz w:val="20"/>
              </w:rPr>
              <w:t>Ein Unterlassen der genannten täglichen Kontrollpfli</w:t>
            </w:r>
            <w:r w:rsidRPr="003E182A">
              <w:rPr>
                <w:rFonts w:ascii="Arial" w:hAnsi="Arial" w:cs="Arial"/>
                <w:sz w:val="20"/>
              </w:rPr>
              <w:t xml:space="preserve">chten und der Beschränkungen für den Fallenfang bei anhaltenden Frosttemperaturen fügt einem gefangenen Tier ohne Not ein länger andauerndes Leiden zu und stellt deshalb eine </w:t>
            </w:r>
            <w:r w:rsidRPr="003E182A">
              <w:rPr>
                <w:rFonts w:ascii="Arial" w:hAnsi="Arial" w:cs="Arial"/>
                <w:sz w:val="20"/>
                <w:u w:val="single"/>
              </w:rPr>
              <w:t xml:space="preserve">Straftat </w:t>
            </w:r>
            <w:r w:rsidRPr="003E182A">
              <w:rPr>
                <w:rFonts w:ascii="Arial" w:hAnsi="Arial" w:cs="Arial"/>
                <w:sz w:val="20"/>
              </w:rPr>
              <w:t>im Sinne des § 17 Tierschutzgesetz dar, die mit Freiheitsstrafe bis zu d</w:t>
            </w:r>
            <w:r w:rsidRPr="003E182A">
              <w:rPr>
                <w:rFonts w:ascii="Arial" w:hAnsi="Arial" w:cs="Arial"/>
                <w:sz w:val="20"/>
              </w:rPr>
              <w:t xml:space="preserve">rei Jahren oder mit Geldstrafe bestraft wird. </w:t>
            </w:r>
          </w:p>
          <w:p w:rsidR="000D7C7B" w:rsidRPr="00470E00" w:rsidRDefault="000D7C7B" w:rsidP="00470E00">
            <w:pPr>
              <w:rPr>
                <w:rFonts w:ascii="Arial" w:hAnsi="Arial" w:cs="Arial"/>
                <w:sz w:val="14"/>
              </w:rPr>
            </w:pPr>
          </w:p>
          <w:p w:rsidR="00595D8C" w:rsidRPr="00DD248C" w:rsidRDefault="00F4131B" w:rsidP="00412090">
            <w:pPr>
              <w:rPr>
                <w:rFonts w:ascii="Arial" w:hAnsi="Arial" w:cs="Arial"/>
                <w:sz w:val="10"/>
              </w:rPr>
            </w:pPr>
            <w:r w:rsidRPr="003E182A">
              <w:rPr>
                <w:rFonts w:ascii="Arial" w:hAnsi="Arial" w:cs="Arial"/>
                <w:sz w:val="20"/>
              </w:rPr>
              <w:t xml:space="preserve">Mir ist bewusst, dass </w:t>
            </w:r>
            <w:r w:rsidR="000D7C7B" w:rsidRPr="003E182A">
              <w:rPr>
                <w:rFonts w:ascii="Arial" w:hAnsi="Arial" w:cs="Arial"/>
                <w:sz w:val="20"/>
              </w:rPr>
              <w:t>das Landratsamt Rottal-Inn gehalten</w:t>
            </w:r>
            <w:r w:rsidR="00412090" w:rsidRPr="003E182A">
              <w:rPr>
                <w:rFonts w:ascii="Arial" w:hAnsi="Arial" w:cs="Arial"/>
                <w:sz w:val="20"/>
              </w:rPr>
              <w:t xml:space="preserve"> ist</w:t>
            </w:r>
            <w:r w:rsidR="000D7C7B" w:rsidRPr="003E182A">
              <w:rPr>
                <w:rFonts w:ascii="Arial" w:hAnsi="Arial" w:cs="Arial"/>
                <w:sz w:val="20"/>
              </w:rPr>
              <w:t>, Straftaten zur Anzeige zu bringen.</w:t>
            </w:r>
            <w:r w:rsidR="00DD248C">
              <w:rPr>
                <w:rFonts w:ascii="Arial" w:hAnsi="Arial" w:cs="Arial"/>
                <w:sz w:val="20"/>
              </w:rPr>
              <w:br/>
            </w:r>
          </w:p>
        </w:tc>
      </w:tr>
    </w:tbl>
    <w:p w:rsidR="00595D8C" w:rsidRPr="00E81129" w:rsidRDefault="00595D8C" w:rsidP="003E182A">
      <w:pPr>
        <w:spacing w:after="0"/>
        <w:rPr>
          <w:rFonts w:ascii="Arial" w:hAnsi="Arial" w:cs="Arial"/>
          <w:sz w:val="12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DA1" w:rsidTr="00E81129">
        <w:trPr>
          <w:trHeight w:val="267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:rsidR="003E182A" w:rsidRPr="008701D2" w:rsidRDefault="00F4131B" w:rsidP="003E1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0D7C7B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Ablauf nach Auslösen der Falle</w:t>
            </w:r>
          </w:p>
        </w:tc>
      </w:tr>
      <w:tr w:rsidR="00BB4DA1" w:rsidTr="00DD248C">
        <w:trPr>
          <w:trHeight w:val="2480"/>
        </w:trPr>
        <w:tc>
          <w:tcPr>
            <w:tcW w:w="9062" w:type="dxa"/>
          </w:tcPr>
          <w:p w:rsidR="003E182A" w:rsidRPr="00DD248C" w:rsidRDefault="003E182A" w:rsidP="0012590F">
            <w:pPr>
              <w:rPr>
                <w:rFonts w:ascii="Arial" w:hAnsi="Arial" w:cs="Arial"/>
                <w:sz w:val="12"/>
              </w:rPr>
            </w:pPr>
          </w:p>
          <w:p w:rsidR="00E81129" w:rsidRPr="00E81129" w:rsidRDefault="00F4131B" w:rsidP="00470E00">
            <w:pPr>
              <w:rPr>
                <w:rFonts w:ascii="Arial" w:hAnsi="Arial" w:cs="Arial"/>
                <w:b/>
                <w:sz w:val="20"/>
              </w:rPr>
            </w:pPr>
            <w:r w:rsidRPr="00E81129">
              <w:rPr>
                <w:rFonts w:ascii="Arial" w:hAnsi="Arial" w:cs="Arial"/>
                <w:b/>
                <w:sz w:val="20"/>
              </w:rPr>
              <w:t>Was ist zu tun wenn, eine Falle ausgelöst hat?</w:t>
            </w:r>
          </w:p>
          <w:p w:rsidR="003E182A" w:rsidRPr="00DD248C" w:rsidRDefault="003E182A" w:rsidP="00470E00">
            <w:pPr>
              <w:rPr>
                <w:rFonts w:ascii="Arial" w:hAnsi="Arial" w:cs="Arial"/>
                <w:sz w:val="12"/>
              </w:rPr>
            </w:pPr>
          </w:p>
          <w:p w:rsidR="00E81129" w:rsidRPr="00E81129" w:rsidRDefault="00F4131B" w:rsidP="00470E0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E81129">
              <w:rPr>
                <w:rFonts w:ascii="Arial" w:hAnsi="Arial" w:cs="Arial"/>
                <w:sz w:val="20"/>
              </w:rPr>
              <w:t xml:space="preserve">Überprüfen, ob sich ein Tier in der Falle befindet. </w:t>
            </w:r>
            <w:r w:rsidRPr="00E81129">
              <w:rPr>
                <w:rFonts w:ascii="Arial" w:hAnsi="Arial" w:cs="Arial"/>
                <w:sz w:val="20"/>
              </w:rPr>
              <w:br/>
            </w:r>
            <w:r w:rsidRPr="00E81129">
              <w:rPr>
                <w:rFonts w:ascii="Wingdings" w:hAnsi="Wingdings" w:cs="Arial"/>
                <w:sz w:val="20"/>
              </w:rPr>
              <w:sym w:font="Wingdings" w:char="F0E8"/>
            </w:r>
            <w:r w:rsidRPr="00E81129">
              <w:rPr>
                <w:rFonts w:ascii="Arial" w:hAnsi="Arial" w:cs="Arial"/>
                <w:sz w:val="20"/>
              </w:rPr>
              <w:t xml:space="preserve"> Ist es kein Biber, ist das Tier sofort freizulassen.</w:t>
            </w:r>
          </w:p>
          <w:p w:rsidR="00E81129" w:rsidRPr="00E81129" w:rsidRDefault="00F4131B" w:rsidP="00470E0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E81129">
              <w:rPr>
                <w:rFonts w:ascii="Arial" w:hAnsi="Arial" w:cs="Arial"/>
                <w:sz w:val="20"/>
              </w:rPr>
              <w:t xml:space="preserve">Wurde ein Biber gefangen, ist </w:t>
            </w:r>
            <w:r w:rsidRPr="00E81129">
              <w:rPr>
                <w:rFonts w:ascii="Arial" w:hAnsi="Arial" w:cs="Arial"/>
                <w:b/>
                <w:sz w:val="20"/>
              </w:rPr>
              <w:t>unverzüglich</w:t>
            </w:r>
            <w:r w:rsidRPr="00E81129">
              <w:rPr>
                <w:rFonts w:ascii="Arial" w:hAnsi="Arial" w:cs="Arial"/>
                <w:sz w:val="20"/>
              </w:rPr>
              <w:t xml:space="preserve"> eine für die Tötung des gefangenen Bibers festgelegte Person – der sog. </w:t>
            </w:r>
            <w:r w:rsidRPr="00E81129">
              <w:rPr>
                <w:rFonts w:ascii="Arial" w:hAnsi="Arial" w:cs="Arial"/>
                <w:b/>
                <w:sz w:val="20"/>
              </w:rPr>
              <w:t>Biberbefugte</w:t>
            </w:r>
            <w:r w:rsidRPr="00E81129">
              <w:rPr>
                <w:rFonts w:ascii="Arial" w:hAnsi="Arial" w:cs="Arial"/>
                <w:sz w:val="20"/>
              </w:rPr>
              <w:t>-- zu verständigen.</w:t>
            </w:r>
            <w:r w:rsidRPr="00E81129">
              <w:rPr>
                <w:rFonts w:ascii="Arial" w:hAnsi="Arial" w:cs="Arial"/>
                <w:sz w:val="20"/>
              </w:rPr>
              <w:br/>
            </w:r>
            <w:r w:rsidRPr="00E81129">
              <w:rPr>
                <w:rFonts w:ascii="Arial" w:hAnsi="Arial" w:cs="Arial"/>
                <w:sz w:val="20"/>
              </w:rPr>
              <w:t>Die Kontaktdaten der jeweils bestellten Biberbefugten werden gesondert im Zuge des Genehmigungsverfahrens durch das Landratsamt Rottal-Inn, SG 42.2 Naturschutz mitgeteilt.</w:t>
            </w:r>
          </w:p>
          <w:p w:rsidR="00E81129" w:rsidRPr="00DD248C" w:rsidRDefault="00F4131B" w:rsidP="00470E0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E81129">
              <w:rPr>
                <w:rFonts w:ascii="Arial" w:hAnsi="Arial" w:cs="Arial"/>
                <w:sz w:val="20"/>
              </w:rPr>
              <w:t xml:space="preserve">Wenn </w:t>
            </w:r>
            <w:r w:rsidRPr="00E81129">
              <w:rPr>
                <w:rFonts w:ascii="Arial" w:hAnsi="Arial" w:cs="Arial"/>
                <w:b/>
                <w:sz w:val="20"/>
              </w:rPr>
              <w:t>innerhalb von zwei Stunden</w:t>
            </w:r>
            <w:r w:rsidRPr="00E81129">
              <w:rPr>
                <w:rFonts w:ascii="Arial" w:hAnsi="Arial" w:cs="Arial"/>
                <w:sz w:val="20"/>
              </w:rPr>
              <w:t xml:space="preserve"> keine der genannten Personen erreichbar ist, muss de</w:t>
            </w:r>
            <w:r w:rsidRPr="00E81129">
              <w:rPr>
                <w:rFonts w:ascii="Arial" w:hAnsi="Arial" w:cs="Arial"/>
                <w:sz w:val="20"/>
              </w:rPr>
              <w:t>r gefangene Biber freigelassen werden.</w:t>
            </w:r>
          </w:p>
          <w:p w:rsidR="003E182A" w:rsidRPr="00DD248C" w:rsidRDefault="003E182A" w:rsidP="00E81129">
            <w:pPr>
              <w:rPr>
                <w:rFonts w:ascii="Arial" w:hAnsi="Arial" w:cs="Arial"/>
                <w:sz w:val="14"/>
              </w:rPr>
            </w:pPr>
          </w:p>
        </w:tc>
      </w:tr>
    </w:tbl>
    <w:p w:rsidR="003E182A" w:rsidRPr="00900017" w:rsidRDefault="003E182A" w:rsidP="00900017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DA1" w:rsidTr="00DC3A26">
        <w:trPr>
          <w:trHeight w:val="283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:rsidR="00595D8C" w:rsidRPr="00956A25" w:rsidRDefault="00F4131B" w:rsidP="00DC3A26">
            <w:pPr>
              <w:rPr>
                <w:rFonts w:ascii="Arial" w:hAnsi="Arial" w:cs="Arial"/>
                <w:b/>
              </w:rPr>
            </w:pPr>
            <w:r w:rsidRPr="00900017">
              <w:rPr>
                <w:rFonts w:ascii="Arial" w:hAnsi="Arial" w:cs="Arial"/>
                <w:b/>
                <w:sz w:val="20"/>
              </w:rPr>
              <w:t>4. Kenntnisnahme und Bestätigung</w:t>
            </w:r>
          </w:p>
        </w:tc>
      </w:tr>
      <w:tr w:rsidR="00BB4DA1" w:rsidTr="00900017">
        <w:trPr>
          <w:trHeight w:val="362"/>
        </w:trPr>
        <w:tc>
          <w:tcPr>
            <w:tcW w:w="9062" w:type="dxa"/>
            <w:vAlign w:val="center"/>
          </w:tcPr>
          <w:p w:rsidR="00595D8C" w:rsidRPr="00464097" w:rsidRDefault="00F4131B" w:rsidP="00900017">
            <w:pPr>
              <w:rPr>
                <w:rFonts w:ascii="Arial" w:hAnsi="Arial" w:cs="Arial"/>
                <w:sz w:val="20"/>
                <w:szCs w:val="20"/>
              </w:rPr>
            </w:pPr>
            <w:r w:rsidRPr="00464097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900017">
              <w:rPr>
                <w:rFonts w:ascii="Arial" w:hAnsi="Arial" w:cs="Arial"/>
                <w:sz w:val="20"/>
                <w:szCs w:val="20"/>
              </w:rPr>
              <w:t>Belehrung ist mir ausgehändigt worden und ich habe diese zur Kenntnis genommen.</w:t>
            </w:r>
          </w:p>
        </w:tc>
      </w:tr>
      <w:tr w:rsidR="00BB4DA1" w:rsidTr="00DC3A26">
        <w:trPr>
          <w:trHeight w:val="454"/>
        </w:trPr>
        <w:tc>
          <w:tcPr>
            <w:tcW w:w="9062" w:type="dxa"/>
            <w:vAlign w:val="center"/>
          </w:tcPr>
          <w:p w:rsidR="00595D8C" w:rsidRPr="00DD248C" w:rsidRDefault="00595D8C" w:rsidP="00DC3A26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595D8C" w:rsidRDefault="00F4131B" w:rsidP="00DC3A2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6099859"/>
                <w:placeholder>
                  <w:docPart w:val="DefaultPlaceholder_-1854013440"/>
                </w:placeholder>
              </w:sdtPr>
              <w:sdtEndPr/>
              <w:sdtContent>
                <w:bookmarkStart w:id="2" w:name="Text26"/>
                <w:r>
                  <w:rPr>
                    <w:rFonts w:ascii="Arial" w:hAnsi="Arial" w:cs="Arial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</w:rPr>
                  <w:instrText xml:space="preserve"> FORMTEXT </w:instrText>
                </w:r>
                <w:r>
                  <w:rPr>
                    <w:rFonts w:ascii="Arial" w:hAnsi="Arial" w:cs="Arial"/>
                  </w:rPr>
                </w:r>
                <w:r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</w:rPr>
                  <w:fldChar w:fldCharType="end"/>
                </w:r>
                <w:bookmarkEnd w:id="2"/>
              </w:sdtContent>
            </w:sdt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595D8C" w:rsidRPr="00956A25" w:rsidRDefault="00F4131B" w:rsidP="00900017">
            <w:pPr>
              <w:rPr>
                <w:rFonts w:ascii="Arial" w:hAnsi="Arial" w:cs="Arial"/>
                <w:sz w:val="16"/>
                <w:szCs w:val="16"/>
              </w:rPr>
            </w:pPr>
            <w:r w:rsidRPr="00956A25">
              <w:rPr>
                <w:rFonts w:ascii="Arial" w:hAnsi="Arial" w:cs="Arial"/>
                <w:sz w:val="16"/>
                <w:szCs w:val="16"/>
              </w:rPr>
              <w:t>Ort, Datum</w:t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  <w:t xml:space="preserve">Unterschrift des </w:t>
            </w:r>
            <w:r w:rsidR="00900017">
              <w:rPr>
                <w:rFonts w:ascii="Arial" w:hAnsi="Arial" w:cs="Arial"/>
                <w:sz w:val="16"/>
                <w:szCs w:val="16"/>
              </w:rPr>
              <w:t>Fallenbetreuers</w:t>
            </w:r>
          </w:p>
        </w:tc>
      </w:tr>
    </w:tbl>
    <w:p w:rsidR="002A2129" w:rsidRPr="00DD248C" w:rsidRDefault="002A2129" w:rsidP="00DD248C">
      <w:pPr>
        <w:spacing w:after="0"/>
        <w:rPr>
          <w:rFonts w:ascii="Arial" w:hAnsi="Arial" w:cs="Arial"/>
          <w:sz w:val="12"/>
        </w:rPr>
      </w:pPr>
    </w:p>
    <w:p w:rsidR="00DD248C" w:rsidRPr="006920D6" w:rsidRDefault="00F4131B" w:rsidP="00DD24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0D6">
        <w:rPr>
          <w:rFonts w:ascii="Arial" w:hAnsi="Arial" w:cs="Arial"/>
          <w:sz w:val="20"/>
          <w:szCs w:val="20"/>
        </w:rPr>
        <w:t xml:space="preserve">Hinweise zum Datenschutz finden Sie unter www.rottal-inn.de/datenschutz. </w:t>
      </w:r>
    </w:p>
    <w:p w:rsidR="00DD248C" w:rsidRPr="006920D6" w:rsidRDefault="00F4131B" w:rsidP="00DD248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</w:rPr>
        <w:br/>
      </w:r>
      <w:r w:rsidRPr="006920D6">
        <w:rPr>
          <w:rFonts w:ascii="Arial" w:hAnsi="Arial" w:cs="Arial"/>
          <w:b/>
          <w:sz w:val="20"/>
          <w:szCs w:val="20"/>
        </w:rPr>
        <w:t>Dieses Dokument wird beim Genehmigungsinhaber aufbewahrt und ist auf Verlangen den zuständigen Behörden auszuhändigen.</w:t>
      </w:r>
    </w:p>
    <w:sectPr w:rsidR="00DD248C" w:rsidRPr="006920D6" w:rsidSect="00306D56">
      <w:footerReference w:type="default" r:id="rId10"/>
      <w:footerReference w:type="first" r:id="rId11"/>
      <w:pgSz w:w="11906" w:h="16838"/>
      <w:pgMar w:top="840" w:right="840" w:bottom="560" w:left="1400" w:header="280" w:footer="2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1B" w:rsidRDefault="00F4131B">
      <w:pPr>
        <w:spacing w:after="0" w:line="240" w:lineRule="auto"/>
      </w:pPr>
      <w:r>
        <w:separator/>
      </w:r>
    </w:p>
  </w:endnote>
  <w:endnote w:type="continuationSeparator" w:id="0">
    <w:p w:rsidR="00F4131B" w:rsidRDefault="00F4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801" w:rsidRPr="00282C8A" w:rsidRDefault="00F4131B" w:rsidP="00DB2801">
    <w:pPr>
      <w:spacing w:after="120"/>
      <w:rPr>
        <w:rFonts w:ascii="Arial" w:hAnsi="Arial" w:cs="Arial"/>
        <w:color w:val="808080" w:themeColor="background1" w:themeShade="80"/>
      </w:rPr>
    </w:pPr>
    <w:r w:rsidRPr="00282C8A">
      <w:rPr>
        <w:rFonts w:ascii="Arial" w:hAnsi="Arial" w:cs="Arial"/>
        <w:color w:val="808080" w:themeColor="background1" w:themeShade="80"/>
      </w:rPr>
      <w:fldChar w:fldCharType="begin"/>
    </w:r>
    <w:r w:rsidRPr="00282C8A">
      <w:rPr>
        <w:rFonts w:ascii="Arial" w:hAnsi="Arial" w:cs="Arial"/>
        <w:color w:val="808080" w:themeColor="background1" w:themeShade="80"/>
      </w:rPr>
      <w:instrText xml:space="preserve"> DOCVARIABLE CS.ID.12 \* MERGEFORMAT </w:instrText>
    </w:r>
    <w:r w:rsidRPr="00282C8A">
      <w:rPr>
        <w:rFonts w:ascii="Arial" w:hAnsi="Arial" w:cs="Arial"/>
        <w:color w:val="808080" w:themeColor="background1" w:themeShade="80"/>
      </w:rPr>
      <w:fldChar w:fldCharType="separate"/>
    </w:r>
    <w:r w:rsidRPr="00282C8A">
      <w:rPr>
        <w:rFonts w:ascii="Arial" w:hAnsi="Arial" w:cs="Arial"/>
        <w:color w:val="808080" w:themeColor="background1" w:themeShade="80"/>
      </w:rPr>
      <w:t>Biber - Entnahme - Belehrung Fallenbetreuer</w:t>
    </w:r>
    <w:r w:rsidRPr="00282C8A">
      <w:rPr>
        <w:rFonts w:ascii="Arial" w:hAnsi="Arial" w:cs="Arial"/>
        <w:color w:val="808080" w:themeColor="background1" w:themeShade="80"/>
      </w:rPr>
      <w:fldChar w:fldCharType="end"/>
    </w:r>
  </w:p>
  <w:p w:rsidR="00696EC5" w:rsidRPr="00282C8A" w:rsidRDefault="00F4131B" w:rsidP="00DB2801">
    <w:pPr>
      <w:tabs>
        <w:tab w:val="center" w:pos="7655"/>
        <w:tab w:val="left" w:pos="8789"/>
        <w:tab w:val="right" w:pos="9639"/>
      </w:tabs>
      <w:rPr>
        <w:rFonts w:ascii="Arial" w:hAnsi="Arial" w:cs="Arial"/>
      </w:rPr>
    </w:pPr>
    <w:r w:rsidRPr="00282C8A">
      <w:rPr>
        <w:rFonts w:ascii="Arial" w:hAnsi="Arial" w:cs="Arial"/>
        <w:color w:val="808080" w:themeColor="background1" w:themeShade="80"/>
      </w:rPr>
      <w:t xml:space="preserve">Revision </w:t>
    </w:r>
    <w:r w:rsidRPr="00282C8A">
      <w:rPr>
        <w:rFonts w:ascii="Arial" w:hAnsi="Arial" w:cs="Arial"/>
        <w:color w:val="808080" w:themeColor="background1" w:themeShade="80"/>
      </w:rPr>
      <w:fldChar w:fldCharType="begin"/>
    </w:r>
    <w:r w:rsidRPr="00282C8A">
      <w:rPr>
        <w:rFonts w:ascii="Arial" w:hAnsi="Arial" w:cs="Arial"/>
        <w:color w:val="808080" w:themeColor="background1" w:themeShade="80"/>
      </w:rPr>
      <w:instrText xml:space="preserve"> DOCVARIABLE CS.ID.100 \* MERGEFORMAT </w:instrText>
    </w:r>
    <w:r w:rsidRPr="00282C8A">
      <w:rPr>
        <w:rFonts w:ascii="Arial" w:hAnsi="Arial" w:cs="Arial"/>
        <w:color w:val="808080" w:themeColor="background1" w:themeShade="80"/>
      </w:rPr>
      <w:fldChar w:fldCharType="separate"/>
    </w:r>
    <w:r w:rsidRPr="00282C8A">
      <w:rPr>
        <w:rFonts w:ascii="Arial" w:hAnsi="Arial" w:cs="Arial"/>
        <w:color w:val="808080" w:themeColor="background1" w:themeShade="80"/>
      </w:rPr>
      <w:t>1</w:t>
    </w:r>
    <w:r w:rsidRPr="00282C8A">
      <w:rPr>
        <w:rFonts w:ascii="Arial" w:hAnsi="Arial" w:cs="Arial"/>
        <w:color w:val="808080" w:themeColor="background1" w:themeShade="80"/>
      </w:rPr>
      <w:fldChar w:fldCharType="end"/>
    </w:r>
    <w:r w:rsidRPr="00282C8A">
      <w:rPr>
        <w:rFonts w:ascii="Arial" w:hAnsi="Arial" w:cs="Arial"/>
        <w:color w:val="808080" w:themeColor="background1" w:themeShade="80"/>
      </w:rPr>
      <w:t xml:space="preserve"> </w:t>
    </w:r>
    <w:r w:rsidRPr="00282C8A">
      <w:rPr>
        <w:rFonts w:ascii="Arial" w:hAnsi="Arial" w:cs="Arial"/>
        <w:color w:val="808080" w:themeColor="background1" w:themeShade="80"/>
      </w:rPr>
      <w:tab/>
      <w:t xml:space="preserve">Seite </w:t>
    </w:r>
    <w:r w:rsidRPr="00282C8A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282C8A">
      <w:rPr>
        <w:rFonts w:ascii="Arial" w:hAnsi="Arial" w:cs="Arial"/>
        <w:b/>
        <w:bCs/>
        <w:color w:val="808080" w:themeColor="background1" w:themeShade="80"/>
      </w:rPr>
      <w:instrText>PAGE</w:instrText>
    </w:r>
    <w:r w:rsidRPr="00282C8A">
      <w:rPr>
        <w:rFonts w:ascii="Arial" w:hAnsi="Arial" w:cs="Arial"/>
        <w:b/>
        <w:bCs/>
        <w:color w:val="808080" w:themeColor="background1" w:themeShade="80"/>
      </w:rPr>
      <w:fldChar w:fldCharType="separate"/>
    </w:r>
    <w:r w:rsidR="00B21BA2">
      <w:rPr>
        <w:rFonts w:ascii="Arial" w:hAnsi="Arial" w:cs="Arial"/>
        <w:b/>
        <w:bCs/>
        <w:noProof/>
        <w:color w:val="808080" w:themeColor="background1" w:themeShade="80"/>
      </w:rPr>
      <w:t>1</w:t>
    </w:r>
    <w:r w:rsidRPr="00282C8A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282C8A">
      <w:rPr>
        <w:rFonts w:ascii="Arial" w:hAnsi="Arial" w:cs="Arial"/>
        <w:color w:val="808080" w:themeColor="background1" w:themeShade="80"/>
      </w:rPr>
      <w:t xml:space="preserve"> von </w:t>
    </w:r>
    <w:r w:rsidRPr="00282C8A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282C8A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282C8A">
      <w:rPr>
        <w:rFonts w:ascii="Arial" w:hAnsi="Arial" w:cs="Arial"/>
        <w:b/>
        <w:bCs/>
        <w:color w:val="808080" w:themeColor="background1" w:themeShade="80"/>
      </w:rPr>
      <w:fldChar w:fldCharType="separate"/>
    </w:r>
    <w:r w:rsidR="00B21BA2">
      <w:rPr>
        <w:rFonts w:ascii="Arial" w:hAnsi="Arial" w:cs="Arial"/>
        <w:b/>
        <w:bCs/>
        <w:noProof/>
        <w:color w:val="808080" w:themeColor="background1" w:themeShade="80"/>
      </w:rPr>
      <w:t>1</w:t>
    </w:r>
    <w:r w:rsidRPr="00282C8A">
      <w:rPr>
        <w:rFonts w:ascii="Arial" w:hAnsi="Arial" w:cs="Arial"/>
        <w:b/>
        <w:bCs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C5" w:rsidRDefault="00696EC5" w:rsidP="00B131F8">
    <w:pPr>
      <w:pStyle w:val="Fuzeile"/>
      <w:rPr>
        <w:rFonts w:ascii="Arial" w:hAnsi="Arial" w:cs="Arial"/>
        <w:sz w:val="11"/>
        <w:szCs w:val="11"/>
      </w:rPr>
    </w:pPr>
  </w:p>
  <w:p w:rsidR="00696EC5" w:rsidRDefault="00696EC5" w:rsidP="00B131F8">
    <w:pPr>
      <w:pStyle w:val="Fuzeile"/>
      <w:rPr>
        <w:rFonts w:ascii="Arial" w:hAnsi="Arial" w:cs="Arial"/>
        <w:sz w:val="11"/>
        <w:szCs w:val="11"/>
      </w:rPr>
    </w:pPr>
  </w:p>
  <w:p w:rsidR="00696EC5" w:rsidRDefault="00696EC5" w:rsidP="00B131F8">
    <w:pPr>
      <w:pStyle w:val="Fuzeile"/>
      <w:rPr>
        <w:rFonts w:ascii="Arial" w:hAnsi="Arial" w:cs="Arial"/>
        <w:sz w:val="11"/>
        <w:szCs w:val="11"/>
      </w:rPr>
    </w:pPr>
  </w:p>
  <w:p w:rsidR="00696EC5" w:rsidRDefault="00696EC5" w:rsidP="00B131F8">
    <w:pPr>
      <w:pStyle w:val="Fuzeile"/>
      <w:rPr>
        <w:rFonts w:ascii="Arial" w:hAnsi="Arial" w:cs="Arial"/>
        <w:sz w:val="11"/>
        <w:szCs w:val="11"/>
      </w:rPr>
    </w:pPr>
  </w:p>
  <w:p w:rsidR="00696EC5" w:rsidRPr="00B131F8" w:rsidRDefault="00F4131B" w:rsidP="00B131F8">
    <w:pPr>
      <w:pStyle w:val="Fuzeile"/>
      <w:ind w:left="-170" w:right="-170"/>
      <w:jc w:val="both"/>
      <w:rPr>
        <w:rFonts w:ascii="Arial" w:hAnsi="Arial" w:cs="Arial"/>
        <w:sz w:val="11"/>
        <w:szCs w:val="11"/>
      </w:rPr>
    </w:pPr>
    <w:r w:rsidRPr="00B131F8">
      <w:rPr>
        <w:rFonts w:ascii="Arial" w:hAnsi="Arial" w:cs="Arial"/>
        <w:sz w:val="11"/>
        <w:szCs w:val="11"/>
      </w:rPr>
      <w:t xml:space="preserve">Konto: Sparkasse Rottal-Inn IBAN: DE81 7435 1430 0570 0068 09 SWIFT-BIC: </w:t>
    </w:r>
    <w:r w:rsidRPr="00B131F8">
      <w:rPr>
        <w:rFonts w:ascii="Arial" w:hAnsi="Arial" w:cs="Arial"/>
        <w:sz w:val="11"/>
        <w:szCs w:val="11"/>
      </w:rPr>
      <w:t>BYLADEM1EGF • VR-Bank Rottal-Inn eG IBAN: DE64 7406 1813 0003 3488 65 SWIFT-BIC: GENODEF1PFK</w:t>
    </w:r>
  </w:p>
  <w:p w:rsidR="00696EC5" w:rsidRPr="00B131F8" w:rsidRDefault="00F4131B" w:rsidP="00B131F8">
    <w:pPr>
      <w:pStyle w:val="Fuzeile"/>
      <w:ind w:left="-170" w:right="-170"/>
      <w:jc w:val="both"/>
      <w:rPr>
        <w:rFonts w:ascii="Arial" w:hAnsi="Arial" w:cs="Arial"/>
        <w:sz w:val="11"/>
        <w:szCs w:val="11"/>
      </w:rPr>
    </w:pPr>
    <w:r w:rsidRPr="00B131F8">
      <w:rPr>
        <w:rFonts w:ascii="Arial" w:hAnsi="Arial" w:cs="Arial"/>
        <w:sz w:val="11"/>
        <w:szCs w:val="11"/>
      </w:rPr>
      <w:t xml:space="preserve">Telefon: 08561 20-0 • info@rottal-inn.de • Ringstraße 4-7 • 84347 Pfarrkirchen • www.rottal-inn.de • Öffnungszeiten: Mo bis Fr 8:00 - 12:00 Uhr, Mo und Do 13:30 - </w:t>
    </w:r>
    <w:r w:rsidRPr="00B131F8">
      <w:rPr>
        <w:rFonts w:ascii="Arial" w:hAnsi="Arial" w:cs="Arial"/>
        <w:sz w:val="11"/>
        <w:szCs w:val="11"/>
      </w:rPr>
      <w:t>16:00 Uhr oder nach Vereinbarung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1B" w:rsidRDefault="00F4131B">
      <w:pPr>
        <w:spacing w:after="0" w:line="240" w:lineRule="auto"/>
      </w:pPr>
      <w:r>
        <w:separator/>
      </w:r>
    </w:p>
  </w:footnote>
  <w:footnote w:type="continuationSeparator" w:id="0">
    <w:p w:rsidR="00F4131B" w:rsidRDefault="00F4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97B"/>
    <w:multiLevelType w:val="hybridMultilevel"/>
    <w:tmpl w:val="88D85488"/>
    <w:lvl w:ilvl="0" w:tplc="97761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6BE74" w:tentative="1">
      <w:start w:val="1"/>
      <w:numFmt w:val="lowerLetter"/>
      <w:lvlText w:val="%2."/>
      <w:lvlJc w:val="left"/>
      <w:pPr>
        <w:ind w:left="1440" w:hanging="360"/>
      </w:pPr>
    </w:lvl>
    <w:lvl w:ilvl="2" w:tplc="02AA7AD8" w:tentative="1">
      <w:start w:val="1"/>
      <w:numFmt w:val="lowerRoman"/>
      <w:lvlText w:val="%3."/>
      <w:lvlJc w:val="right"/>
      <w:pPr>
        <w:ind w:left="2160" w:hanging="180"/>
      </w:pPr>
    </w:lvl>
    <w:lvl w:ilvl="3" w:tplc="52E2338C" w:tentative="1">
      <w:start w:val="1"/>
      <w:numFmt w:val="decimal"/>
      <w:lvlText w:val="%4."/>
      <w:lvlJc w:val="left"/>
      <w:pPr>
        <w:ind w:left="2880" w:hanging="360"/>
      </w:pPr>
    </w:lvl>
    <w:lvl w:ilvl="4" w:tplc="D7B24A90" w:tentative="1">
      <w:start w:val="1"/>
      <w:numFmt w:val="lowerLetter"/>
      <w:lvlText w:val="%5."/>
      <w:lvlJc w:val="left"/>
      <w:pPr>
        <w:ind w:left="3600" w:hanging="360"/>
      </w:pPr>
    </w:lvl>
    <w:lvl w:ilvl="5" w:tplc="F0DCB75E" w:tentative="1">
      <w:start w:val="1"/>
      <w:numFmt w:val="lowerRoman"/>
      <w:lvlText w:val="%6."/>
      <w:lvlJc w:val="right"/>
      <w:pPr>
        <w:ind w:left="4320" w:hanging="180"/>
      </w:pPr>
    </w:lvl>
    <w:lvl w:ilvl="6" w:tplc="4672D7CA" w:tentative="1">
      <w:start w:val="1"/>
      <w:numFmt w:val="decimal"/>
      <w:lvlText w:val="%7."/>
      <w:lvlJc w:val="left"/>
      <w:pPr>
        <w:ind w:left="5040" w:hanging="360"/>
      </w:pPr>
    </w:lvl>
    <w:lvl w:ilvl="7" w:tplc="E35A8BBE" w:tentative="1">
      <w:start w:val="1"/>
      <w:numFmt w:val="lowerLetter"/>
      <w:lvlText w:val="%8."/>
      <w:lvlJc w:val="left"/>
      <w:pPr>
        <w:ind w:left="5760" w:hanging="360"/>
      </w:pPr>
    </w:lvl>
    <w:lvl w:ilvl="8" w:tplc="81E24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AC0"/>
    <w:multiLevelType w:val="hybridMultilevel"/>
    <w:tmpl w:val="2076BF66"/>
    <w:lvl w:ilvl="0" w:tplc="3CD891A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F1C6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E8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3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40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6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29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8D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0B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717C"/>
    <w:multiLevelType w:val="hybridMultilevel"/>
    <w:tmpl w:val="ECE24176"/>
    <w:lvl w:ilvl="0" w:tplc="F8F2D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0F790" w:tentative="1">
      <w:start w:val="1"/>
      <w:numFmt w:val="lowerLetter"/>
      <w:lvlText w:val="%2."/>
      <w:lvlJc w:val="left"/>
      <w:pPr>
        <w:ind w:left="1080" w:hanging="360"/>
      </w:pPr>
    </w:lvl>
    <w:lvl w:ilvl="2" w:tplc="E11CAB0C" w:tentative="1">
      <w:start w:val="1"/>
      <w:numFmt w:val="lowerRoman"/>
      <w:lvlText w:val="%3."/>
      <w:lvlJc w:val="right"/>
      <w:pPr>
        <w:ind w:left="1800" w:hanging="180"/>
      </w:pPr>
    </w:lvl>
    <w:lvl w:ilvl="3" w:tplc="9258B1BC" w:tentative="1">
      <w:start w:val="1"/>
      <w:numFmt w:val="decimal"/>
      <w:lvlText w:val="%4."/>
      <w:lvlJc w:val="left"/>
      <w:pPr>
        <w:ind w:left="2520" w:hanging="360"/>
      </w:pPr>
    </w:lvl>
    <w:lvl w:ilvl="4" w:tplc="E758C344" w:tentative="1">
      <w:start w:val="1"/>
      <w:numFmt w:val="lowerLetter"/>
      <w:lvlText w:val="%5."/>
      <w:lvlJc w:val="left"/>
      <w:pPr>
        <w:ind w:left="3240" w:hanging="360"/>
      </w:pPr>
    </w:lvl>
    <w:lvl w:ilvl="5" w:tplc="AC62B824" w:tentative="1">
      <w:start w:val="1"/>
      <w:numFmt w:val="lowerRoman"/>
      <w:lvlText w:val="%6."/>
      <w:lvlJc w:val="right"/>
      <w:pPr>
        <w:ind w:left="3960" w:hanging="180"/>
      </w:pPr>
    </w:lvl>
    <w:lvl w:ilvl="6" w:tplc="BA9206B6" w:tentative="1">
      <w:start w:val="1"/>
      <w:numFmt w:val="decimal"/>
      <w:lvlText w:val="%7."/>
      <w:lvlJc w:val="left"/>
      <w:pPr>
        <w:ind w:left="4680" w:hanging="360"/>
      </w:pPr>
    </w:lvl>
    <w:lvl w:ilvl="7" w:tplc="B2DC4EBE" w:tentative="1">
      <w:start w:val="1"/>
      <w:numFmt w:val="lowerLetter"/>
      <w:lvlText w:val="%8."/>
      <w:lvlJc w:val="left"/>
      <w:pPr>
        <w:ind w:left="5400" w:hanging="360"/>
      </w:pPr>
    </w:lvl>
    <w:lvl w:ilvl="8" w:tplc="2AD223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21BD3"/>
    <w:multiLevelType w:val="hybridMultilevel"/>
    <w:tmpl w:val="3AA8CFAA"/>
    <w:lvl w:ilvl="0" w:tplc="9C504A62">
      <w:start w:val="1"/>
      <w:numFmt w:val="bullet"/>
      <w:lvlText w:val="-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76EC68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6A4054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2BF1E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6D5FE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28B15E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2C6A7E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0AD22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E889EA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013699"/>
    <w:multiLevelType w:val="hybridMultilevel"/>
    <w:tmpl w:val="91027E78"/>
    <w:lvl w:ilvl="0" w:tplc="81CE2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7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CE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E1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A2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80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65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E7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C9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3251"/>
    <w:multiLevelType w:val="hybridMultilevel"/>
    <w:tmpl w:val="F544DA2A"/>
    <w:lvl w:ilvl="0" w:tplc="3D3CB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09402" w:tentative="1">
      <w:start w:val="1"/>
      <w:numFmt w:val="lowerLetter"/>
      <w:lvlText w:val="%2."/>
      <w:lvlJc w:val="left"/>
      <w:pPr>
        <w:ind w:left="1440" w:hanging="360"/>
      </w:pPr>
    </w:lvl>
    <w:lvl w:ilvl="2" w:tplc="9E720146" w:tentative="1">
      <w:start w:val="1"/>
      <w:numFmt w:val="lowerRoman"/>
      <w:lvlText w:val="%3."/>
      <w:lvlJc w:val="right"/>
      <w:pPr>
        <w:ind w:left="2160" w:hanging="180"/>
      </w:pPr>
    </w:lvl>
    <w:lvl w:ilvl="3" w:tplc="3948D2C8" w:tentative="1">
      <w:start w:val="1"/>
      <w:numFmt w:val="decimal"/>
      <w:lvlText w:val="%4."/>
      <w:lvlJc w:val="left"/>
      <w:pPr>
        <w:ind w:left="2880" w:hanging="360"/>
      </w:pPr>
    </w:lvl>
    <w:lvl w:ilvl="4" w:tplc="F7E0ECDE" w:tentative="1">
      <w:start w:val="1"/>
      <w:numFmt w:val="lowerLetter"/>
      <w:lvlText w:val="%5."/>
      <w:lvlJc w:val="left"/>
      <w:pPr>
        <w:ind w:left="3600" w:hanging="360"/>
      </w:pPr>
    </w:lvl>
    <w:lvl w:ilvl="5" w:tplc="8C1481AE" w:tentative="1">
      <w:start w:val="1"/>
      <w:numFmt w:val="lowerRoman"/>
      <w:lvlText w:val="%6."/>
      <w:lvlJc w:val="right"/>
      <w:pPr>
        <w:ind w:left="4320" w:hanging="180"/>
      </w:pPr>
    </w:lvl>
    <w:lvl w:ilvl="6" w:tplc="87684B7C" w:tentative="1">
      <w:start w:val="1"/>
      <w:numFmt w:val="decimal"/>
      <w:lvlText w:val="%7."/>
      <w:lvlJc w:val="left"/>
      <w:pPr>
        <w:ind w:left="5040" w:hanging="360"/>
      </w:pPr>
    </w:lvl>
    <w:lvl w:ilvl="7" w:tplc="52A4F3B8" w:tentative="1">
      <w:start w:val="1"/>
      <w:numFmt w:val="lowerLetter"/>
      <w:lvlText w:val="%8."/>
      <w:lvlJc w:val="left"/>
      <w:pPr>
        <w:ind w:left="5760" w:hanging="360"/>
      </w:pPr>
    </w:lvl>
    <w:lvl w:ilvl="8" w:tplc="74F69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3ADB"/>
    <w:multiLevelType w:val="hybridMultilevel"/>
    <w:tmpl w:val="4A644986"/>
    <w:lvl w:ilvl="0" w:tplc="DF90188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746F9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ABC7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81C04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92E1F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C42004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BCEFB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5A41C8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20B8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urdS87FhDcYt1KxKpVzO738yxlg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Biber - Entnahme - Belehrung Fallenbetreuer"/>
  </w:docVars>
  <w:rsids>
    <w:rsidRoot w:val="005754DC"/>
    <w:rsid w:val="00014C12"/>
    <w:rsid w:val="000A3353"/>
    <w:rsid w:val="000C044F"/>
    <w:rsid w:val="000D6191"/>
    <w:rsid w:val="000D7C7B"/>
    <w:rsid w:val="000F28A0"/>
    <w:rsid w:val="00104F3A"/>
    <w:rsid w:val="0012590F"/>
    <w:rsid w:val="00150578"/>
    <w:rsid w:val="00154614"/>
    <w:rsid w:val="00161A30"/>
    <w:rsid w:val="0016315A"/>
    <w:rsid w:val="00164F66"/>
    <w:rsid w:val="00175BB9"/>
    <w:rsid w:val="001A05F7"/>
    <w:rsid w:val="001B0FD5"/>
    <w:rsid w:val="001E2815"/>
    <w:rsid w:val="00236705"/>
    <w:rsid w:val="002457BC"/>
    <w:rsid w:val="00273EDC"/>
    <w:rsid w:val="00282C8A"/>
    <w:rsid w:val="002950D8"/>
    <w:rsid w:val="0029542F"/>
    <w:rsid w:val="002A2129"/>
    <w:rsid w:val="002D3C03"/>
    <w:rsid w:val="002E3082"/>
    <w:rsid w:val="0030022C"/>
    <w:rsid w:val="003050EE"/>
    <w:rsid w:val="00306D56"/>
    <w:rsid w:val="00327DE2"/>
    <w:rsid w:val="00344B63"/>
    <w:rsid w:val="00355BD0"/>
    <w:rsid w:val="003723B2"/>
    <w:rsid w:val="00376714"/>
    <w:rsid w:val="00387AC0"/>
    <w:rsid w:val="003978B6"/>
    <w:rsid w:val="003A43DF"/>
    <w:rsid w:val="003A530D"/>
    <w:rsid w:val="003A6933"/>
    <w:rsid w:val="003E182A"/>
    <w:rsid w:val="00412090"/>
    <w:rsid w:val="00417F0F"/>
    <w:rsid w:val="0045120B"/>
    <w:rsid w:val="00464097"/>
    <w:rsid w:val="00470E00"/>
    <w:rsid w:val="004779D3"/>
    <w:rsid w:val="00487C1E"/>
    <w:rsid w:val="00491FD5"/>
    <w:rsid w:val="004D7817"/>
    <w:rsid w:val="00502CE5"/>
    <w:rsid w:val="005206CD"/>
    <w:rsid w:val="005754DC"/>
    <w:rsid w:val="00595D8C"/>
    <w:rsid w:val="005C036C"/>
    <w:rsid w:val="005D6052"/>
    <w:rsid w:val="00634214"/>
    <w:rsid w:val="0064456C"/>
    <w:rsid w:val="00663AD7"/>
    <w:rsid w:val="0067470E"/>
    <w:rsid w:val="006905A5"/>
    <w:rsid w:val="006920D6"/>
    <w:rsid w:val="00696EC5"/>
    <w:rsid w:val="006C04C4"/>
    <w:rsid w:val="006C160F"/>
    <w:rsid w:val="006E0508"/>
    <w:rsid w:val="006E3F75"/>
    <w:rsid w:val="006E7217"/>
    <w:rsid w:val="006F15DE"/>
    <w:rsid w:val="007179BF"/>
    <w:rsid w:val="007409A2"/>
    <w:rsid w:val="007A549E"/>
    <w:rsid w:val="007D0D18"/>
    <w:rsid w:val="007E3E4E"/>
    <w:rsid w:val="00837CF3"/>
    <w:rsid w:val="0086290F"/>
    <w:rsid w:val="008701D2"/>
    <w:rsid w:val="00870C2A"/>
    <w:rsid w:val="0089797E"/>
    <w:rsid w:val="008A1896"/>
    <w:rsid w:val="008A5185"/>
    <w:rsid w:val="008E4574"/>
    <w:rsid w:val="00900017"/>
    <w:rsid w:val="00915F34"/>
    <w:rsid w:val="00922FFE"/>
    <w:rsid w:val="00924CFF"/>
    <w:rsid w:val="00940B1A"/>
    <w:rsid w:val="00956A25"/>
    <w:rsid w:val="0099128B"/>
    <w:rsid w:val="009B10FA"/>
    <w:rsid w:val="00A15561"/>
    <w:rsid w:val="00A25962"/>
    <w:rsid w:val="00A4002F"/>
    <w:rsid w:val="00AB44FE"/>
    <w:rsid w:val="00AD220E"/>
    <w:rsid w:val="00AD29B7"/>
    <w:rsid w:val="00AE3771"/>
    <w:rsid w:val="00AF4AF0"/>
    <w:rsid w:val="00B03402"/>
    <w:rsid w:val="00B131F8"/>
    <w:rsid w:val="00B21BA2"/>
    <w:rsid w:val="00B2433D"/>
    <w:rsid w:val="00B255E2"/>
    <w:rsid w:val="00B67E35"/>
    <w:rsid w:val="00B73538"/>
    <w:rsid w:val="00B925D1"/>
    <w:rsid w:val="00BB4DA1"/>
    <w:rsid w:val="00BC50C2"/>
    <w:rsid w:val="00BF2240"/>
    <w:rsid w:val="00BF44DE"/>
    <w:rsid w:val="00BF5DFE"/>
    <w:rsid w:val="00C149CB"/>
    <w:rsid w:val="00C17892"/>
    <w:rsid w:val="00C21E7A"/>
    <w:rsid w:val="00CB27F0"/>
    <w:rsid w:val="00CE02C9"/>
    <w:rsid w:val="00CE399E"/>
    <w:rsid w:val="00CE5885"/>
    <w:rsid w:val="00D14749"/>
    <w:rsid w:val="00D340C3"/>
    <w:rsid w:val="00D425F4"/>
    <w:rsid w:val="00D45856"/>
    <w:rsid w:val="00D673E8"/>
    <w:rsid w:val="00D7598D"/>
    <w:rsid w:val="00DB2801"/>
    <w:rsid w:val="00DC06F7"/>
    <w:rsid w:val="00DC3A26"/>
    <w:rsid w:val="00DC4803"/>
    <w:rsid w:val="00DD248C"/>
    <w:rsid w:val="00E64795"/>
    <w:rsid w:val="00E72D56"/>
    <w:rsid w:val="00E81129"/>
    <w:rsid w:val="00EA1B57"/>
    <w:rsid w:val="00EC3F9B"/>
    <w:rsid w:val="00ED0595"/>
    <w:rsid w:val="00ED26C9"/>
    <w:rsid w:val="00ED7DCE"/>
    <w:rsid w:val="00EF667F"/>
    <w:rsid w:val="00F4131B"/>
    <w:rsid w:val="00F4339F"/>
    <w:rsid w:val="00FB260B"/>
    <w:rsid w:val="00FC57A7"/>
    <w:rsid w:val="00FE0AFC"/>
    <w:rsid w:val="00FF667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C81A4-5D1A-43D1-AB57-E0620C33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01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39F"/>
  </w:style>
  <w:style w:type="paragraph" w:styleId="Fuzeile">
    <w:name w:val="footer"/>
    <w:basedOn w:val="Standard"/>
    <w:link w:val="FuzeileZchn"/>
    <w:uiPriority w:val="99"/>
    <w:unhideWhenUsed/>
    <w:rsid w:val="00F4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39F"/>
  </w:style>
  <w:style w:type="table" w:customStyle="1" w:styleId="TableGrid">
    <w:name w:val="TableGrid"/>
    <w:rsid w:val="002A2129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AF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2433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7E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7E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7E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7E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7E3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67E3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F6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68CA9-2EFB-4978-B9E2-190E056B6173}"/>
      </w:docPartPr>
      <w:docPartBody>
        <w:p w:rsidR="00376714" w:rsidRDefault="00A440A1">
          <w:r w:rsidRPr="00327D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81"/>
    <w:rsid w:val="00034E81"/>
    <w:rsid w:val="00376714"/>
    <w:rsid w:val="00A440A1"/>
    <w:rsid w:val="00A5750F"/>
    <w:rsid w:val="00F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4E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2D2B-74D2-4033-91BC-6490FE34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Halser Magdalena</dc:creator>
  <cp:lastModifiedBy>Gellesch Sarah</cp:lastModifiedBy>
  <cp:revision>2</cp:revision>
  <cp:lastPrinted>2021-07-09T08:51:00Z</cp:lastPrinted>
  <dcterms:created xsi:type="dcterms:W3CDTF">2022-10-20T14:29:00Z</dcterms:created>
  <dcterms:modified xsi:type="dcterms:W3CDTF">2022-10-20T14:29:00Z</dcterms:modified>
</cp:coreProperties>
</file>