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4E" w:rsidRDefault="00617947" w:rsidP="00FE2D4E">
      <w:pPr>
        <w:jc w:val="right"/>
        <w:rPr>
          <w:b/>
          <w:color w:val="232323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153934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59267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4E" w:rsidRDefault="00617947" w:rsidP="00FE2D4E">
      <w:pPr>
        <w:ind w:left="426"/>
        <w:jc w:val="right"/>
        <w:rPr>
          <w:b/>
          <w:color w:val="23232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53711</wp:posOffset>
            </wp:positionH>
            <wp:positionV relativeFrom="paragraph">
              <wp:posOffset>29845</wp:posOffset>
            </wp:positionV>
            <wp:extent cx="548640" cy="716280"/>
            <wp:effectExtent l="0" t="0" r="3810" b="7620"/>
            <wp:wrapTight wrapText="bothSides">
              <wp:wrapPolygon edited="0">
                <wp:start x="0" y="0"/>
                <wp:lineTo x="0" y="21255"/>
                <wp:lineTo x="21000" y="21255"/>
                <wp:lineTo x="21000" y="0"/>
                <wp:lineTo x="0" y="0"/>
              </wp:wrapPolygon>
            </wp:wrapTight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39771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4E" w:rsidRDefault="00617947" w:rsidP="00FE2D4E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FE2D4E" w:rsidRDefault="00FE2D4E" w:rsidP="00FE2D4E">
      <w:pPr>
        <w:ind w:left="426"/>
        <w:rPr>
          <w:sz w:val="22"/>
          <w:szCs w:val="22"/>
        </w:rPr>
      </w:pPr>
    </w:p>
    <w:p w:rsidR="00FE2D4E" w:rsidRDefault="00FE2D4E" w:rsidP="00FE2D4E">
      <w:pPr>
        <w:spacing w:before="1"/>
        <w:ind w:left="426"/>
        <w:rPr>
          <w:rFonts w:eastAsiaTheme="minorHAnsi"/>
          <w:sz w:val="22"/>
          <w:szCs w:val="22"/>
        </w:rPr>
      </w:pPr>
    </w:p>
    <w:p w:rsidR="00FE2D4E" w:rsidRDefault="00FE2D4E" w:rsidP="00FE2D4E">
      <w:pPr>
        <w:spacing w:before="1"/>
        <w:ind w:left="426"/>
        <w:jc w:val="center"/>
        <w:rPr>
          <w:rFonts w:eastAsiaTheme="minorHAnsi"/>
          <w:szCs w:val="24"/>
        </w:rPr>
      </w:pPr>
    </w:p>
    <w:p w:rsidR="005B1E26" w:rsidRPr="006E2812" w:rsidRDefault="005B1E26" w:rsidP="00FE2D4E">
      <w:pPr>
        <w:spacing w:before="1"/>
        <w:ind w:left="426"/>
        <w:jc w:val="center"/>
        <w:rPr>
          <w:rFonts w:eastAsiaTheme="minorHAnsi"/>
          <w:szCs w:val="24"/>
        </w:rPr>
      </w:pPr>
    </w:p>
    <w:p w:rsidR="00FE2D4E" w:rsidRPr="005B1E26" w:rsidRDefault="00617947" w:rsidP="00FE2D4E">
      <w:pPr>
        <w:jc w:val="center"/>
        <w:rPr>
          <w:b/>
          <w:szCs w:val="24"/>
          <w:u w:val="single"/>
        </w:rPr>
      </w:pPr>
      <w:r w:rsidRPr="005B1E26">
        <w:rPr>
          <w:b/>
          <w:szCs w:val="24"/>
        </w:rPr>
        <w:t>Merkblatt zur Entsorgung von Speiseabfällen aus Gaststätten und Großküchen</w:t>
      </w:r>
    </w:p>
    <w:p w:rsidR="00FE2D4E" w:rsidRDefault="00FE2D4E" w:rsidP="00FE2D4E">
      <w:pPr>
        <w:rPr>
          <w:sz w:val="22"/>
          <w:szCs w:val="22"/>
        </w:rPr>
      </w:pPr>
    </w:p>
    <w:p w:rsidR="005B1E26" w:rsidRPr="005B1E26" w:rsidRDefault="005B1E26" w:rsidP="00FE2D4E">
      <w:pPr>
        <w:rPr>
          <w:sz w:val="22"/>
          <w:szCs w:val="22"/>
        </w:rPr>
      </w:pP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Verschiedene Ausbrüche der Schweinepest in der Vergangenheit, die mit hoher Wahrscheinlichkeit auf das Verfüttern von Speiseabfällen zurückzuführen</w:t>
      </w:r>
      <w:r w:rsidRPr="005B1E26">
        <w:rPr>
          <w:sz w:val="22"/>
          <w:szCs w:val="22"/>
        </w:rPr>
        <w:t xml:space="preserve"> sind, sowie die sich aktuell in Europa ausbreitende Afrikanische Schweinepest geben Veranlassung, auf die rechtliche Situation bei der Entsorgung von Speiseabfällen aus Gaststätten und Einrichtungen zu Gemeinschaftsverpflegung hinzuweisen. Das Auftreten d</w:t>
      </w:r>
      <w:r w:rsidRPr="005B1E26">
        <w:rPr>
          <w:sz w:val="22"/>
          <w:szCs w:val="22"/>
        </w:rPr>
        <w:t>er Schweinepest führt zu umfangreichen Sperrmaßnahmen und verursacht erhebliche wirtschaftliche Verluste, bis hin zur Existenzgefährdung der betroffenen schweinehaltenden Betriebe.</w:t>
      </w:r>
    </w:p>
    <w:p w:rsidR="00FE2D4E" w:rsidRPr="005B1E26" w:rsidRDefault="00FE2D4E" w:rsidP="00FE2D4E">
      <w:pPr>
        <w:jc w:val="both"/>
        <w:rPr>
          <w:sz w:val="22"/>
          <w:szCs w:val="22"/>
        </w:rPr>
      </w:pP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23495</wp:posOffset>
                </wp:positionV>
                <wp:extent cx="6273800" cy="906145"/>
                <wp:effectExtent l="19050" t="19050" r="12700" b="273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D4E" w:rsidRDefault="00617947" w:rsidP="00FE2D4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Generell gilt:</w:t>
                            </w:r>
                          </w:p>
                          <w:p w:rsidR="00FE2D4E" w:rsidRDefault="00617947" w:rsidP="00FE2D4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Das Verfüttern von Speiseabfällen an Nutztiere, insbeson</w:t>
                            </w:r>
                            <w:r>
                              <w:rPr>
                                <w:b/>
                              </w:rPr>
                              <w:t xml:space="preserve">dere an Klauentiere ist grundsätzlich verboten. Dieses Verbot richtet sich sowohl an die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Abfallerzeuger</w:t>
                            </w:r>
                            <w:r>
                              <w:rPr>
                                <w:b/>
                              </w:rPr>
                              <w:t xml:space="preserve"> (Gewerbe, Haushalte) als auch an die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Abnehmer.</w:t>
                            </w:r>
                            <w:r>
                              <w:rPr>
                                <w:b/>
                              </w:rPr>
                              <w:t xml:space="preserve"> (Tierhalter)</w:t>
                            </w:r>
                          </w:p>
                          <w:p w:rsidR="00FE2D4E" w:rsidRDefault="00FE2D4E" w:rsidP="00FE2D4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7pt;margin-top:1.85pt;width:494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" fillcolor="white [3201]" strokeweight="3pt">
                <v:textbox>
                  <w:txbxContent>
                    <w:p w:rsidR="00FE2D4E" w:rsidRDefault="00617947" w:rsidP="00FE2D4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Generell gilt:</w:t>
                      </w:r>
                    </w:p>
                    <w:p w:rsidR="00FE2D4E" w:rsidRDefault="00617947" w:rsidP="00FE2D4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Das Verfüttern von Speiseabfällen an Nutztiere, insbeson</w:t>
                      </w:r>
                      <w:r>
                        <w:rPr>
                          <w:b/>
                        </w:rPr>
                        <w:t xml:space="preserve">dere an Klauentiere ist grundsätzlich verboten. Dieses Verbot richtet sich sowohl an die </w:t>
                      </w:r>
                      <w:r>
                        <w:rPr>
                          <w:b/>
                          <w:u w:val="single"/>
                        </w:rPr>
                        <w:t>Abfallerzeuger</w:t>
                      </w:r>
                      <w:r>
                        <w:rPr>
                          <w:b/>
                        </w:rPr>
                        <w:t xml:space="preserve"> (Gewerbe, Haushalte) als auch an die </w:t>
                      </w:r>
                      <w:r>
                        <w:rPr>
                          <w:b/>
                          <w:u w:val="single"/>
                        </w:rPr>
                        <w:t>Abnehmer.</w:t>
                      </w:r>
                      <w:r>
                        <w:rPr>
                          <w:b/>
                        </w:rPr>
                        <w:t xml:space="preserve"> (Tierhalter)</w:t>
                      </w:r>
                    </w:p>
                    <w:p w:rsidR="00FE2D4E" w:rsidRDefault="00FE2D4E" w:rsidP="00FE2D4E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D4E" w:rsidRPr="005B1E26" w:rsidRDefault="00FE2D4E" w:rsidP="00FE2D4E">
      <w:pPr>
        <w:rPr>
          <w:sz w:val="22"/>
          <w:szCs w:val="22"/>
        </w:rPr>
      </w:pPr>
    </w:p>
    <w:p w:rsidR="00FE2D4E" w:rsidRPr="005B1E26" w:rsidRDefault="00FE2D4E" w:rsidP="00FE2D4E">
      <w:pPr>
        <w:rPr>
          <w:sz w:val="22"/>
          <w:szCs w:val="22"/>
        </w:rPr>
      </w:pPr>
    </w:p>
    <w:p w:rsidR="00FE2D4E" w:rsidRPr="005B1E26" w:rsidRDefault="00FE2D4E" w:rsidP="00FE2D4E">
      <w:pPr>
        <w:rPr>
          <w:sz w:val="22"/>
          <w:szCs w:val="22"/>
        </w:rPr>
      </w:pPr>
    </w:p>
    <w:p w:rsidR="00FE2D4E" w:rsidRPr="005B1E26" w:rsidRDefault="00FE2D4E" w:rsidP="00FE2D4E">
      <w:pPr>
        <w:rPr>
          <w:sz w:val="22"/>
          <w:szCs w:val="22"/>
        </w:rPr>
      </w:pPr>
    </w:p>
    <w:p w:rsidR="00FE2D4E" w:rsidRPr="005B1E26" w:rsidRDefault="00FE2D4E" w:rsidP="00FE2D4E">
      <w:pPr>
        <w:rPr>
          <w:sz w:val="22"/>
          <w:szCs w:val="22"/>
          <w:u w:val="single"/>
        </w:rPr>
      </w:pPr>
    </w:p>
    <w:p w:rsidR="00FE2D4E" w:rsidRPr="005B1E26" w:rsidRDefault="00617947" w:rsidP="00FE2D4E">
      <w:pPr>
        <w:jc w:val="both"/>
        <w:rPr>
          <w:sz w:val="22"/>
          <w:szCs w:val="22"/>
          <w:u w:val="single"/>
        </w:rPr>
      </w:pPr>
      <w:r w:rsidRPr="005B1E26">
        <w:rPr>
          <w:sz w:val="22"/>
          <w:szCs w:val="22"/>
          <w:u w:val="single"/>
        </w:rPr>
        <w:t>Rechtlich zulässige Möglichkeiten der Speiseabfallentsorgung</w:t>
      </w:r>
    </w:p>
    <w:p w:rsidR="00FE2D4E" w:rsidRPr="005B1E26" w:rsidRDefault="00FE2D4E" w:rsidP="00FE2D4E">
      <w:pPr>
        <w:jc w:val="both"/>
        <w:rPr>
          <w:sz w:val="22"/>
          <w:szCs w:val="22"/>
        </w:rPr>
      </w:pP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 xml:space="preserve">Für die </w:t>
      </w:r>
      <w:r w:rsidRPr="005B1E26">
        <w:rPr>
          <w:b/>
          <w:sz w:val="22"/>
          <w:szCs w:val="22"/>
        </w:rPr>
        <w:t>Abfallerzeuger</w:t>
      </w:r>
      <w:r w:rsidRPr="005B1E26">
        <w:rPr>
          <w:sz w:val="22"/>
          <w:szCs w:val="22"/>
        </w:rPr>
        <w:t xml:space="preserve"> (Gaststätten, Einrichtungen zur Gemeinschaftsverpflegung) besteht eine generelle Beseitigungspflicht für Speiseabfälle an zugelassene Speiseabfallentsorger oder an die Tierkörperbeseitigungsanstalt. Ausgenommen hiervon sind lediglich </w:t>
      </w:r>
      <w:r w:rsidRPr="005B1E26">
        <w:rPr>
          <w:sz w:val="22"/>
          <w:szCs w:val="22"/>
          <w:u w:val="single"/>
        </w:rPr>
        <w:t>„geringe Mengen“</w:t>
      </w:r>
      <w:r w:rsidRPr="005B1E26">
        <w:rPr>
          <w:sz w:val="22"/>
          <w:szCs w:val="22"/>
        </w:rPr>
        <w:t xml:space="preserve"> an S</w:t>
      </w:r>
      <w:r w:rsidRPr="005B1E26">
        <w:rPr>
          <w:sz w:val="22"/>
          <w:szCs w:val="22"/>
        </w:rPr>
        <w:t xml:space="preserve">peiseabfällen. </w:t>
      </w:r>
      <w:r w:rsidRPr="005B1E26">
        <w:rPr>
          <w:sz w:val="22"/>
          <w:szCs w:val="22"/>
          <w:u w:val="single"/>
        </w:rPr>
        <w:t>Eine geringe</w:t>
      </w:r>
      <w:r w:rsidRPr="005B1E26">
        <w:rPr>
          <w:sz w:val="22"/>
          <w:szCs w:val="22"/>
        </w:rPr>
        <w:t xml:space="preserve"> Menge liegt dann nicht mehr vor, wenn mehr Küchen- und Speisereste als in einem </w:t>
      </w:r>
      <w:r w:rsidRPr="005B1E26">
        <w:rPr>
          <w:sz w:val="22"/>
          <w:szCs w:val="22"/>
          <w:u w:val="single"/>
        </w:rPr>
        <w:t>4-Personen-Haushalt</w:t>
      </w:r>
      <w:r w:rsidRPr="005B1E26">
        <w:rPr>
          <w:sz w:val="22"/>
          <w:szCs w:val="22"/>
        </w:rPr>
        <w:t xml:space="preserve"> zur Entsorgung anfallen.</w:t>
      </w:r>
    </w:p>
    <w:p w:rsidR="00FE2D4E" w:rsidRPr="005B1E26" w:rsidRDefault="00FE2D4E" w:rsidP="00FE2D4E">
      <w:pPr>
        <w:jc w:val="both"/>
        <w:rPr>
          <w:sz w:val="22"/>
          <w:szCs w:val="22"/>
        </w:rPr>
      </w:pP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 xml:space="preserve">Die Beseitigung von Speiseabfällen, die in privaten Haushalten und im gewerblichen Bereich in </w:t>
      </w:r>
      <w:r w:rsidRPr="005B1E26">
        <w:rPr>
          <w:b/>
          <w:sz w:val="22"/>
          <w:szCs w:val="22"/>
        </w:rPr>
        <w:t>geringen</w:t>
      </w:r>
      <w:r w:rsidRPr="005B1E26">
        <w:rPr>
          <w:b/>
          <w:sz w:val="22"/>
          <w:szCs w:val="22"/>
        </w:rPr>
        <w:t xml:space="preserve"> Mengen</w:t>
      </w:r>
      <w:r w:rsidRPr="005B1E26">
        <w:rPr>
          <w:sz w:val="22"/>
          <w:szCs w:val="22"/>
        </w:rPr>
        <w:t xml:space="preserve"> anfallen, unterliegt den Vorschriften des Abfallrechts und hat somit über die Bio- bzw. Restmülltonne zu erfolgen.</w:t>
      </w: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Soweit in einem Betrieb (Gaststätten, Einrichtungen der Gemeinschaftsverpflegung</w:t>
      </w:r>
      <w:r w:rsidR="007A5055">
        <w:rPr>
          <w:sz w:val="22"/>
          <w:szCs w:val="22"/>
        </w:rPr>
        <w:t>)</w:t>
      </w:r>
      <w:r w:rsidRPr="005B1E26">
        <w:rPr>
          <w:sz w:val="22"/>
          <w:szCs w:val="22"/>
        </w:rPr>
        <w:t xml:space="preserve"> mehr Speiseabfälle anfallen als in einem 4-Personen</w:t>
      </w:r>
      <w:r w:rsidRPr="005B1E26">
        <w:rPr>
          <w:sz w:val="22"/>
          <w:szCs w:val="22"/>
        </w:rPr>
        <w:t>-Haushalt üblich, sind sie gemäß den abfallrechtlichen Vorgaben und den tierseuchenrechtlichen Vorschriften über dafür zugelassene Betriebe zu entsorgen.</w:t>
      </w:r>
    </w:p>
    <w:p w:rsidR="00FE2D4E" w:rsidRPr="005B1E26" w:rsidRDefault="00FE2D4E" w:rsidP="00FE2D4E">
      <w:pPr>
        <w:jc w:val="both"/>
        <w:rPr>
          <w:sz w:val="22"/>
          <w:szCs w:val="22"/>
        </w:rPr>
      </w:pP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Das Landratsamt Rottal-Inn hat darüber zu wachen, dass beseitigungspflichtige Speiserestmengen, die a</w:t>
      </w:r>
      <w:r w:rsidRPr="005B1E26">
        <w:rPr>
          <w:sz w:val="22"/>
          <w:szCs w:val="22"/>
        </w:rPr>
        <w:t xml:space="preserve">us Gaststätten, Einrichtungen der Gemeinschaftsverpflegung und ähnlichen Einrichtungen stammen, nur an zugelassene Speiseabfallentsorger oder die Tierkörperbeseitigungsanstalt abgegeben werden. </w:t>
      </w: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Der Speiseabfall-abgebende-Betrieb ist verpflichtet, sich vom</w:t>
      </w:r>
      <w:r w:rsidRPr="005B1E26">
        <w:rPr>
          <w:sz w:val="22"/>
          <w:szCs w:val="22"/>
        </w:rPr>
        <w:t xml:space="preserve"> Abholer die Zulassung als Abfallentsorger nachweisen zu lassen. </w:t>
      </w: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Außerdem ist die Abholung der Abfälle durch Belege des Entsorgungsunternehmens über Menge und Daten der Abholung nachzuweisen.</w:t>
      </w:r>
    </w:p>
    <w:p w:rsidR="00FE2D4E" w:rsidRPr="005B1E26" w:rsidRDefault="00617947" w:rsidP="00FE2D4E">
      <w:pPr>
        <w:jc w:val="both"/>
        <w:rPr>
          <w:sz w:val="22"/>
          <w:szCs w:val="22"/>
        </w:rPr>
      </w:pPr>
      <w:r w:rsidRPr="005B1E26">
        <w:rPr>
          <w:sz w:val="22"/>
          <w:szCs w:val="22"/>
        </w:rPr>
        <w:t>Verstöße gegen die Bestimmungen des tierischen Nebenproduktebes</w:t>
      </w:r>
      <w:r w:rsidRPr="005B1E26">
        <w:rPr>
          <w:sz w:val="22"/>
          <w:szCs w:val="22"/>
        </w:rPr>
        <w:t>eitigungsrechts stellen Ordnungswidrigkeiten dar und können mit einem Bußgeld geahndet werden.</w:t>
      </w:r>
    </w:p>
    <w:p w:rsidR="00FE2D4E" w:rsidRPr="005B1E26" w:rsidRDefault="00FE2D4E" w:rsidP="00FE2D4E">
      <w:pPr>
        <w:jc w:val="both"/>
        <w:rPr>
          <w:sz w:val="22"/>
          <w:szCs w:val="22"/>
        </w:rPr>
      </w:pPr>
    </w:p>
    <w:p w:rsidR="00741A80" w:rsidRPr="005B1E26" w:rsidRDefault="00617947" w:rsidP="00FE2D4E">
      <w:pPr>
        <w:jc w:val="both"/>
        <w:rPr>
          <w:sz w:val="22"/>
          <w:szCs w:val="22"/>
          <w:u w:val="single"/>
        </w:rPr>
      </w:pPr>
      <w:r w:rsidRPr="005B1E26">
        <w:rPr>
          <w:sz w:val="22"/>
          <w:szCs w:val="22"/>
        </w:rPr>
        <w:t>Für Rückfragen in dieser Angelegenheit steht das Landratsamt Rottal-Inn, Veterinäramt, Tel. (08561/20-408) gerne zur Verfügung.</w:t>
      </w:r>
    </w:p>
    <w:sectPr w:rsidR="00741A80" w:rsidRPr="005B1E26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7947">
      <w:r>
        <w:separator/>
      </w:r>
    </w:p>
  </w:endnote>
  <w:endnote w:type="continuationSeparator" w:id="0">
    <w:p w:rsidR="00000000" w:rsidRDefault="0061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BB" w:rsidRDefault="00617947" w:rsidP="001122BB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Merkblatt zur Entsorgung von Speiseabfällen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1122BB" w:rsidRDefault="00617947" w:rsidP="001122BB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7947">
      <w:r>
        <w:separator/>
      </w:r>
    </w:p>
  </w:footnote>
  <w:footnote w:type="continuationSeparator" w:id="0">
    <w:p w:rsidR="00000000" w:rsidRDefault="0061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B3068A4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24466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604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183C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1EED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2C10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2A47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5695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04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0A6A07E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D887AE2" w:tentative="1">
      <w:start w:val="1"/>
      <w:numFmt w:val="lowerLetter"/>
      <w:lvlText w:val="%2."/>
      <w:lvlJc w:val="left"/>
      <w:pPr>
        <w:ind w:left="1647" w:hanging="360"/>
      </w:pPr>
    </w:lvl>
    <w:lvl w:ilvl="2" w:tplc="CEDA1422" w:tentative="1">
      <w:start w:val="1"/>
      <w:numFmt w:val="lowerRoman"/>
      <w:lvlText w:val="%3."/>
      <w:lvlJc w:val="right"/>
      <w:pPr>
        <w:ind w:left="2367" w:hanging="180"/>
      </w:pPr>
    </w:lvl>
    <w:lvl w:ilvl="3" w:tplc="A1326D04" w:tentative="1">
      <w:start w:val="1"/>
      <w:numFmt w:val="decimal"/>
      <w:lvlText w:val="%4."/>
      <w:lvlJc w:val="left"/>
      <w:pPr>
        <w:ind w:left="3087" w:hanging="360"/>
      </w:pPr>
    </w:lvl>
    <w:lvl w:ilvl="4" w:tplc="8A5A09C2" w:tentative="1">
      <w:start w:val="1"/>
      <w:numFmt w:val="lowerLetter"/>
      <w:lvlText w:val="%5."/>
      <w:lvlJc w:val="left"/>
      <w:pPr>
        <w:ind w:left="3807" w:hanging="360"/>
      </w:pPr>
    </w:lvl>
    <w:lvl w:ilvl="5" w:tplc="BEBA673A" w:tentative="1">
      <w:start w:val="1"/>
      <w:numFmt w:val="lowerRoman"/>
      <w:lvlText w:val="%6."/>
      <w:lvlJc w:val="right"/>
      <w:pPr>
        <w:ind w:left="4527" w:hanging="180"/>
      </w:pPr>
    </w:lvl>
    <w:lvl w:ilvl="6" w:tplc="B6068836" w:tentative="1">
      <w:start w:val="1"/>
      <w:numFmt w:val="decimal"/>
      <w:lvlText w:val="%7."/>
      <w:lvlJc w:val="left"/>
      <w:pPr>
        <w:ind w:left="5247" w:hanging="360"/>
      </w:pPr>
    </w:lvl>
    <w:lvl w:ilvl="7" w:tplc="18922270" w:tentative="1">
      <w:start w:val="1"/>
      <w:numFmt w:val="lowerLetter"/>
      <w:lvlText w:val="%8."/>
      <w:lvlJc w:val="left"/>
      <w:pPr>
        <w:ind w:left="5967" w:hanging="360"/>
      </w:pPr>
    </w:lvl>
    <w:lvl w:ilvl="8" w:tplc="99A252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B78892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DCAB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6C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89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84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0E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7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2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e+bLCNWHH0RZe9lQnEFWE9EcOa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Merkblatt zur Entsorgung von Speiseabfällen"/>
  </w:docVars>
  <w:rsids>
    <w:rsidRoot w:val="007F057E"/>
    <w:rsid w:val="0006566B"/>
    <w:rsid w:val="00075A48"/>
    <w:rsid w:val="000E4890"/>
    <w:rsid w:val="001122BB"/>
    <w:rsid w:val="002405D1"/>
    <w:rsid w:val="002C2529"/>
    <w:rsid w:val="003E4BD1"/>
    <w:rsid w:val="00432A76"/>
    <w:rsid w:val="00460C95"/>
    <w:rsid w:val="00483D45"/>
    <w:rsid w:val="004932F5"/>
    <w:rsid w:val="004F785D"/>
    <w:rsid w:val="005678A4"/>
    <w:rsid w:val="00571542"/>
    <w:rsid w:val="00581D8A"/>
    <w:rsid w:val="005B1E26"/>
    <w:rsid w:val="005D7D92"/>
    <w:rsid w:val="00617332"/>
    <w:rsid w:val="00617947"/>
    <w:rsid w:val="00636C87"/>
    <w:rsid w:val="00641717"/>
    <w:rsid w:val="00674DD4"/>
    <w:rsid w:val="00684CCB"/>
    <w:rsid w:val="006E2812"/>
    <w:rsid w:val="00741A80"/>
    <w:rsid w:val="007A5055"/>
    <w:rsid w:val="007F057E"/>
    <w:rsid w:val="00841C45"/>
    <w:rsid w:val="00895FC8"/>
    <w:rsid w:val="008B0ABF"/>
    <w:rsid w:val="008C3CC9"/>
    <w:rsid w:val="008F4A63"/>
    <w:rsid w:val="00904131"/>
    <w:rsid w:val="0092062F"/>
    <w:rsid w:val="00927CDA"/>
    <w:rsid w:val="00974F68"/>
    <w:rsid w:val="009B412A"/>
    <w:rsid w:val="009F37F1"/>
    <w:rsid w:val="00A2101F"/>
    <w:rsid w:val="00A75D96"/>
    <w:rsid w:val="00AE0894"/>
    <w:rsid w:val="00BD5C58"/>
    <w:rsid w:val="00BF3C1E"/>
    <w:rsid w:val="00C470CE"/>
    <w:rsid w:val="00CB0F1F"/>
    <w:rsid w:val="00CB3C0F"/>
    <w:rsid w:val="00CD4B1B"/>
    <w:rsid w:val="00D5328C"/>
    <w:rsid w:val="00DA6A91"/>
    <w:rsid w:val="00DB1246"/>
    <w:rsid w:val="00DF49DC"/>
    <w:rsid w:val="00E26018"/>
    <w:rsid w:val="00E50B2F"/>
    <w:rsid w:val="00F0206D"/>
    <w:rsid w:val="00F56FA6"/>
    <w:rsid w:val="00FB2E7F"/>
    <w:rsid w:val="00FC0970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211D6-7122-4D86-81FE-7508E1A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1935-5A58-4E03-A91D-6A7BFB1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2020-03-20T09:53:00Z</dcterms:created>
  <dcterms:modified xsi:type="dcterms:W3CDTF">2020-03-20T09:53:00Z</dcterms:modified>
</cp:coreProperties>
</file>